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10C88" w14:textId="77777777" w:rsidR="00545608" w:rsidRPr="00DB1A1C" w:rsidRDefault="00545608" w:rsidP="00237631">
      <w:pPr>
        <w:spacing w:before="100" w:beforeAutospacing="1" w:after="100" w:afterAutospacing="1"/>
        <w:rPr>
          <w:rFonts w:asciiTheme="minorHAnsi" w:hAnsiTheme="minorHAnsi" w:cstheme="minorHAnsi"/>
        </w:rPr>
      </w:pPr>
    </w:p>
    <w:tbl>
      <w:tblPr>
        <w:tblW w:w="0" w:type="auto"/>
        <w:tblInd w:w="368" w:type="dxa"/>
        <w:tblLook w:val="0000" w:firstRow="0" w:lastRow="0" w:firstColumn="0" w:lastColumn="0" w:noHBand="0" w:noVBand="0"/>
      </w:tblPr>
      <w:tblGrid>
        <w:gridCol w:w="4004"/>
        <w:gridCol w:w="1476"/>
        <w:gridCol w:w="3602"/>
      </w:tblGrid>
      <w:tr w:rsidR="00C55242" w:rsidRPr="00DB1A1C" w14:paraId="1F442289" w14:textId="77777777" w:rsidTr="00654A03">
        <w:trPr>
          <w:cantSplit/>
        </w:trPr>
        <w:tc>
          <w:tcPr>
            <w:tcW w:w="4676" w:type="dxa"/>
          </w:tcPr>
          <w:p w14:paraId="7B3A858F" w14:textId="77777777" w:rsidR="00545608" w:rsidRPr="00DB1A1C" w:rsidRDefault="00545608" w:rsidP="00E909B6">
            <w:pPr>
              <w:pStyle w:val="Heading1"/>
              <w:rPr>
                <w:rFonts w:asciiTheme="minorHAnsi" w:hAnsiTheme="minorHAnsi" w:cstheme="minorHAnsi"/>
                <w:sz w:val="16"/>
              </w:rPr>
            </w:pPr>
          </w:p>
          <w:p w14:paraId="0F22BC15" w14:textId="77777777" w:rsidR="00545608" w:rsidRPr="00DB1A1C" w:rsidRDefault="00545608" w:rsidP="00E909B6">
            <w:pPr>
              <w:pStyle w:val="Heading4"/>
              <w:rPr>
                <w:rFonts w:asciiTheme="minorHAnsi" w:hAnsiTheme="minorHAnsi" w:cstheme="minorHAnsi"/>
                <w:sz w:val="24"/>
              </w:rPr>
            </w:pPr>
            <w:r w:rsidRPr="00DB1A1C">
              <w:rPr>
                <w:rFonts w:asciiTheme="minorHAnsi" w:hAnsiTheme="minorHAnsi" w:cstheme="minorHAnsi"/>
                <w:sz w:val="24"/>
              </w:rPr>
              <w:t>AFRICAN UNION</w:t>
            </w:r>
          </w:p>
        </w:tc>
        <w:tc>
          <w:tcPr>
            <w:tcW w:w="1304" w:type="dxa"/>
            <w:vMerge w:val="restart"/>
          </w:tcPr>
          <w:p w14:paraId="4296324B" w14:textId="0CB93213" w:rsidR="00545608" w:rsidRPr="00DB1A1C" w:rsidRDefault="00265D15" w:rsidP="00E909B6">
            <w:pPr>
              <w:jc w:val="center"/>
              <w:rPr>
                <w:rFonts w:asciiTheme="minorHAnsi" w:hAnsiTheme="minorHAnsi" w:cstheme="minorHAnsi"/>
                <w:sz w:val="6"/>
              </w:rPr>
            </w:pPr>
            <w:r w:rsidRPr="00DB1A1C">
              <w:rPr>
                <w:rFonts w:asciiTheme="minorHAnsi" w:hAnsiTheme="minorHAnsi" w:cstheme="minorHAnsi"/>
                <w:noProof/>
              </w:rPr>
              <w:drawing>
                <wp:anchor distT="0" distB="0" distL="114300" distR="114300" simplePos="0" relativeHeight="251658240" behindDoc="1" locked="0" layoutInCell="1" allowOverlap="1" wp14:anchorId="48AD040D" wp14:editId="1109AB79">
                  <wp:simplePos x="0" y="0"/>
                  <wp:positionH relativeFrom="column">
                    <wp:posOffset>-52878</wp:posOffset>
                  </wp:positionH>
                  <wp:positionV relativeFrom="paragraph">
                    <wp:posOffset>224559</wp:posOffset>
                  </wp:positionV>
                  <wp:extent cx="792228" cy="710332"/>
                  <wp:effectExtent l="0" t="0" r="8255" b="0"/>
                  <wp:wrapTight wrapText="bothSides">
                    <wp:wrapPolygon edited="0">
                      <wp:start x="7275" y="0"/>
                      <wp:lineTo x="0" y="1159"/>
                      <wp:lineTo x="0" y="15070"/>
                      <wp:lineTo x="2079" y="18547"/>
                      <wp:lineTo x="4677" y="20866"/>
                      <wp:lineTo x="5196" y="20866"/>
                      <wp:lineTo x="16109" y="20866"/>
                      <wp:lineTo x="16629" y="20866"/>
                      <wp:lineTo x="19227" y="18547"/>
                      <wp:lineTo x="21306" y="15070"/>
                      <wp:lineTo x="21306" y="1159"/>
                      <wp:lineTo x="14030" y="0"/>
                      <wp:lineTo x="727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_Logo_circ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2228" cy="710332"/>
                          </a:xfrm>
                          <a:prstGeom prst="rect">
                            <a:avLst/>
                          </a:prstGeom>
                        </pic:spPr>
                      </pic:pic>
                    </a:graphicData>
                  </a:graphic>
                </wp:anchor>
              </w:drawing>
            </w:r>
          </w:p>
          <w:p w14:paraId="171437B9" w14:textId="33A99B57" w:rsidR="00545608" w:rsidRPr="00DB1A1C" w:rsidRDefault="00545608" w:rsidP="00E909B6">
            <w:pPr>
              <w:jc w:val="center"/>
              <w:rPr>
                <w:rFonts w:asciiTheme="minorHAnsi" w:hAnsiTheme="minorHAnsi" w:cstheme="minorHAnsi"/>
              </w:rPr>
            </w:pPr>
          </w:p>
          <w:p w14:paraId="7DAA6AD4" w14:textId="77777777" w:rsidR="00545608" w:rsidRPr="00DB1A1C" w:rsidRDefault="00545608" w:rsidP="00E909B6">
            <w:pPr>
              <w:rPr>
                <w:rFonts w:asciiTheme="minorHAnsi" w:hAnsiTheme="minorHAnsi" w:cstheme="minorHAnsi"/>
                <w:sz w:val="8"/>
              </w:rPr>
            </w:pPr>
          </w:p>
        </w:tc>
        <w:tc>
          <w:tcPr>
            <w:tcW w:w="4420" w:type="dxa"/>
          </w:tcPr>
          <w:p w14:paraId="0DD130D1" w14:textId="77777777" w:rsidR="00545608" w:rsidRPr="00DB1A1C" w:rsidRDefault="00545608" w:rsidP="00E909B6">
            <w:pPr>
              <w:pStyle w:val="Heading1"/>
              <w:rPr>
                <w:rFonts w:asciiTheme="minorHAnsi" w:hAnsiTheme="minorHAnsi" w:cstheme="minorHAnsi"/>
                <w:sz w:val="16"/>
              </w:rPr>
            </w:pPr>
          </w:p>
          <w:p w14:paraId="2D4A87AF" w14:textId="77777777" w:rsidR="00545608" w:rsidRPr="00DB1A1C" w:rsidRDefault="00545608" w:rsidP="00E909B6">
            <w:pPr>
              <w:pStyle w:val="Heading4"/>
              <w:rPr>
                <w:rFonts w:asciiTheme="minorHAnsi" w:hAnsiTheme="minorHAnsi" w:cstheme="minorHAnsi"/>
                <w:sz w:val="24"/>
              </w:rPr>
            </w:pPr>
            <w:r w:rsidRPr="00DB1A1C">
              <w:rPr>
                <w:rFonts w:asciiTheme="minorHAnsi" w:hAnsiTheme="minorHAnsi" w:cstheme="minorHAnsi"/>
                <w:sz w:val="24"/>
              </w:rPr>
              <w:t>UNION AFRICAINE</w:t>
            </w:r>
          </w:p>
        </w:tc>
      </w:tr>
      <w:tr w:rsidR="00C55242" w:rsidRPr="00DB1A1C" w14:paraId="79C654FD" w14:textId="77777777" w:rsidTr="00654A03">
        <w:trPr>
          <w:cantSplit/>
        </w:trPr>
        <w:tc>
          <w:tcPr>
            <w:tcW w:w="4676" w:type="dxa"/>
            <w:tcBorders>
              <w:bottom w:val="single" w:sz="4" w:space="0" w:color="auto"/>
            </w:tcBorders>
          </w:tcPr>
          <w:p w14:paraId="2D5B7C88" w14:textId="77777777" w:rsidR="005031FE" w:rsidRPr="00DB1A1C" w:rsidRDefault="005031FE" w:rsidP="00E909B6">
            <w:pPr>
              <w:jc w:val="center"/>
              <w:rPr>
                <w:rFonts w:asciiTheme="minorHAnsi" w:hAnsiTheme="minorHAnsi" w:cstheme="minorHAnsi"/>
                <w:noProof/>
              </w:rPr>
            </w:pPr>
          </w:p>
          <w:p w14:paraId="684E9B8D" w14:textId="77777777" w:rsidR="00545608" w:rsidRPr="00DB1A1C" w:rsidRDefault="00616299" w:rsidP="00E909B6">
            <w:pPr>
              <w:jc w:val="center"/>
              <w:rPr>
                <w:rFonts w:asciiTheme="minorHAnsi" w:hAnsiTheme="minorHAnsi" w:cstheme="minorHAnsi"/>
                <w:noProof/>
              </w:rPr>
            </w:pPr>
            <w:r w:rsidRPr="00DB1A1C">
              <w:rPr>
                <w:rFonts w:asciiTheme="minorHAnsi" w:hAnsiTheme="minorHAnsi" w:cstheme="minorHAnsi"/>
                <w:noProof/>
              </w:rPr>
              <w:object w:dxaOrig="1815" w:dyaOrig="615" w14:anchorId="680CD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4.5pt;height:31.5pt;mso-width-percent:0;mso-height-percent:0;mso-width-percent:0;mso-height-percent:0" o:ole="">
                  <v:imagedata r:id="rId9" o:title=""/>
                </v:shape>
                <o:OLEObject Type="Embed" ProgID="PBrush" ShapeID="_x0000_i1025" DrawAspect="Content" ObjectID="_1811932826" r:id="rId10"/>
              </w:object>
            </w:r>
          </w:p>
          <w:p w14:paraId="13EDB312" w14:textId="2AB25B56" w:rsidR="005031FE" w:rsidRPr="00DB1A1C" w:rsidRDefault="005031FE" w:rsidP="00E909B6">
            <w:pPr>
              <w:jc w:val="center"/>
              <w:rPr>
                <w:rFonts w:asciiTheme="minorHAnsi" w:hAnsiTheme="minorHAnsi" w:cstheme="minorHAnsi"/>
              </w:rPr>
            </w:pPr>
            <w:r w:rsidRPr="00DB1A1C">
              <w:rPr>
                <w:rFonts w:asciiTheme="minorHAnsi" w:eastAsia="Arial Unicode MS" w:hAnsiTheme="minorHAnsi" w:cstheme="minorHAnsi"/>
                <w:b/>
                <w:color w:val="000000"/>
                <w:u w:color="000000"/>
                <w:bdr w:val="nil"/>
                <w:lang w:val="en-GB"/>
              </w:rPr>
              <w:t>UMOJA WA AFRIKA</w:t>
            </w:r>
          </w:p>
        </w:tc>
        <w:tc>
          <w:tcPr>
            <w:tcW w:w="1304" w:type="dxa"/>
            <w:vMerge/>
            <w:tcBorders>
              <w:bottom w:val="single" w:sz="4" w:space="0" w:color="auto"/>
            </w:tcBorders>
          </w:tcPr>
          <w:p w14:paraId="20FB7017" w14:textId="77777777" w:rsidR="00545608" w:rsidRPr="00DB1A1C" w:rsidRDefault="00545608" w:rsidP="00E909B6">
            <w:pPr>
              <w:rPr>
                <w:rFonts w:asciiTheme="minorHAnsi" w:hAnsiTheme="minorHAnsi" w:cstheme="minorHAnsi"/>
              </w:rPr>
            </w:pPr>
          </w:p>
        </w:tc>
        <w:tc>
          <w:tcPr>
            <w:tcW w:w="4420" w:type="dxa"/>
            <w:tcBorders>
              <w:bottom w:val="single" w:sz="4" w:space="0" w:color="auto"/>
            </w:tcBorders>
          </w:tcPr>
          <w:p w14:paraId="6907DED2" w14:textId="77777777" w:rsidR="00545608" w:rsidRPr="00DB1A1C" w:rsidRDefault="00545608" w:rsidP="00E909B6">
            <w:pPr>
              <w:rPr>
                <w:rFonts w:asciiTheme="minorHAnsi" w:hAnsiTheme="minorHAnsi" w:cstheme="minorHAnsi"/>
                <w:b/>
                <w:bCs w:val="0"/>
                <w:sz w:val="16"/>
              </w:rPr>
            </w:pPr>
          </w:p>
          <w:p w14:paraId="38151897" w14:textId="77777777" w:rsidR="005031FE" w:rsidRPr="00DB1A1C" w:rsidRDefault="005031FE" w:rsidP="00E909B6">
            <w:pPr>
              <w:pStyle w:val="Heading4"/>
              <w:rPr>
                <w:rFonts w:asciiTheme="minorHAnsi" w:hAnsiTheme="minorHAnsi" w:cstheme="minorHAnsi"/>
                <w:sz w:val="24"/>
                <w:lang w:val="en-US"/>
              </w:rPr>
            </w:pPr>
          </w:p>
          <w:p w14:paraId="7055EA6C" w14:textId="15C4C061" w:rsidR="00545608" w:rsidRPr="00DB1A1C" w:rsidRDefault="00545608" w:rsidP="00E909B6">
            <w:pPr>
              <w:pStyle w:val="Heading4"/>
              <w:rPr>
                <w:rFonts w:asciiTheme="minorHAnsi" w:hAnsiTheme="minorHAnsi" w:cstheme="minorHAnsi"/>
                <w:sz w:val="24"/>
                <w:lang w:val="en-US"/>
              </w:rPr>
            </w:pPr>
            <w:r w:rsidRPr="00DB1A1C">
              <w:rPr>
                <w:rFonts w:asciiTheme="minorHAnsi" w:hAnsiTheme="minorHAnsi" w:cstheme="minorHAnsi"/>
                <w:sz w:val="24"/>
                <w:lang w:val="en-US"/>
              </w:rPr>
              <w:t>UNIÃO AFRICANA</w:t>
            </w:r>
          </w:p>
          <w:p w14:paraId="241E9AF1" w14:textId="77777777" w:rsidR="005031FE" w:rsidRPr="00DB1A1C" w:rsidRDefault="005031FE" w:rsidP="00E909B6">
            <w:pPr>
              <w:rPr>
                <w:rFonts w:asciiTheme="minorHAnsi" w:hAnsiTheme="minorHAnsi" w:cstheme="minorHAnsi"/>
              </w:rPr>
            </w:pPr>
          </w:p>
          <w:p w14:paraId="6DFC0E87" w14:textId="452AD9CE" w:rsidR="005031FE" w:rsidRPr="00DB1A1C" w:rsidRDefault="005031FE" w:rsidP="00E909B6">
            <w:pPr>
              <w:rPr>
                <w:rFonts w:asciiTheme="minorHAnsi" w:hAnsiTheme="minorHAnsi" w:cstheme="minorHAnsi"/>
              </w:rPr>
            </w:pPr>
            <w:r w:rsidRPr="00DB1A1C">
              <w:rPr>
                <w:rFonts w:asciiTheme="minorHAnsi" w:eastAsia="Arial" w:hAnsiTheme="minorHAnsi" w:cstheme="minorHAnsi"/>
                <w:b/>
                <w:color w:val="000000"/>
                <w:sz w:val="26"/>
                <w:szCs w:val="26"/>
                <w:u w:color="000000"/>
                <w:bdr w:val="nil"/>
                <w:lang w:val="en-GB"/>
              </w:rPr>
              <w:t xml:space="preserve">         </w:t>
            </w:r>
            <w:r w:rsidRPr="00DB1A1C">
              <w:rPr>
                <w:rFonts w:asciiTheme="minorHAnsi" w:eastAsia="Arial" w:hAnsiTheme="minorHAnsi" w:cstheme="minorHAnsi"/>
                <w:b/>
                <w:color w:val="000000"/>
                <w:u w:color="000000"/>
                <w:bdr w:val="nil"/>
                <w:lang w:val="en-GB"/>
              </w:rPr>
              <w:t>UNIÓN AFRICANA</w:t>
            </w:r>
          </w:p>
        </w:tc>
      </w:tr>
    </w:tbl>
    <w:p w14:paraId="3F4A68D1" w14:textId="77777777" w:rsidR="00C55242" w:rsidRPr="00DB1A1C" w:rsidRDefault="00C55242" w:rsidP="00237631">
      <w:pPr>
        <w:pStyle w:val="Heading5"/>
        <w:spacing w:before="100" w:beforeAutospacing="1" w:after="100" w:afterAutospacing="1"/>
        <w:ind w:right="260"/>
        <w:jc w:val="left"/>
        <w:rPr>
          <w:rFonts w:asciiTheme="minorHAnsi" w:hAnsiTheme="minorHAnsi" w:cstheme="minorHAnsi"/>
          <w:color w:val="006600"/>
          <w:sz w:val="10"/>
          <w:szCs w:val="10"/>
          <w:lang w:val="en-US"/>
        </w:rPr>
      </w:pPr>
    </w:p>
    <w:p w14:paraId="59656273" w14:textId="77777777" w:rsidR="003F2DEF" w:rsidRPr="00DB1A1C" w:rsidRDefault="003F2DEF" w:rsidP="00237631">
      <w:pPr>
        <w:pStyle w:val="Heading5"/>
        <w:spacing w:before="100" w:beforeAutospacing="1" w:after="100" w:afterAutospacing="1"/>
        <w:ind w:left="260" w:right="260"/>
        <w:rPr>
          <w:rFonts w:asciiTheme="minorHAnsi" w:hAnsiTheme="minorHAnsi" w:cstheme="minorHAnsi"/>
          <w:color w:val="006600"/>
          <w:sz w:val="10"/>
          <w:szCs w:val="10"/>
          <w:lang w:val="en-US"/>
        </w:rPr>
      </w:pPr>
    </w:p>
    <w:p w14:paraId="46136984" w14:textId="77777777" w:rsidR="008E02CE" w:rsidRPr="00DB1A1C" w:rsidRDefault="008E02CE" w:rsidP="00237631">
      <w:pPr>
        <w:spacing w:before="100" w:beforeAutospacing="1" w:after="100" w:afterAutospacing="1"/>
        <w:jc w:val="center"/>
        <w:rPr>
          <w:rFonts w:asciiTheme="minorHAnsi" w:hAnsiTheme="minorHAnsi" w:cstheme="minorHAnsi"/>
          <w:b/>
          <w:bCs w:val="0"/>
        </w:rPr>
      </w:pPr>
    </w:p>
    <w:p w14:paraId="7BE54B7D" w14:textId="77777777" w:rsidR="008E02CE" w:rsidRPr="00DB1A1C" w:rsidRDefault="008E02CE" w:rsidP="00237631">
      <w:pPr>
        <w:spacing w:before="100" w:beforeAutospacing="1" w:after="100" w:afterAutospacing="1"/>
        <w:jc w:val="center"/>
        <w:rPr>
          <w:rFonts w:asciiTheme="minorHAnsi" w:hAnsiTheme="minorHAnsi" w:cstheme="minorHAnsi"/>
          <w:b/>
          <w:bCs w:val="0"/>
        </w:rPr>
      </w:pPr>
    </w:p>
    <w:p w14:paraId="358342A5" w14:textId="19EEB1A3" w:rsidR="00C32A92" w:rsidRPr="00DB1A1C" w:rsidRDefault="0008264F" w:rsidP="00237631">
      <w:pPr>
        <w:spacing w:before="100" w:beforeAutospacing="1" w:after="100" w:afterAutospacing="1"/>
        <w:jc w:val="center"/>
        <w:rPr>
          <w:rFonts w:asciiTheme="minorHAnsi" w:hAnsiTheme="minorHAnsi" w:cstheme="minorHAnsi"/>
          <w:b/>
          <w:bCs w:val="0"/>
          <w:sz w:val="36"/>
          <w:szCs w:val="36"/>
        </w:rPr>
      </w:pPr>
      <w:r w:rsidRPr="00DB1A1C">
        <w:rPr>
          <w:rFonts w:asciiTheme="minorHAnsi" w:hAnsiTheme="minorHAnsi" w:cstheme="minorHAnsi"/>
          <w:b/>
          <w:bCs w:val="0"/>
          <w:sz w:val="36"/>
          <w:szCs w:val="36"/>
        </w:rPr>
        <w:t>THE AFRICA THINK TANK PLATFORM (ATTP) PROJECT</w:t>
      </w:r>
    </w:p>
    <w:p w14:paraId="20515BC4" w14:textId="77777777" w:rsidR="0008264F" w:rsidRPr="00DB1A1C" w:rsidRDefault="0008264F" w:rsidP="00237631">
      <w:pPr>
        <w:spacing w:before="100" w:beforeAutospacing="1" w:after="100" w:afterAutospacing="1"/>
        <w:jc w:val="center"/>
        <w:rPr>
          <w:rFonts w:asciiTheme="minorHAnsi" w:hAnsiTheme="minorHAnsi" w:cstheme="minorHAnsi"/>
          <w:b/>
          <w:bCs w:val="0"/>
          <w:sz w:val="36"/>
          <w:szCs w:val="36"/>
        </w:rPr>
      </w:pPr>
    </w:p>
    <w:p w14:paraId="0F52C90E" w14:textId="55DD85E3" w:rsidR="0008264F" w:rsidRPr="00DB1A1C" w:rsidRDefault="0008264F" w:rsidP="00237631">
      <w:pPr>
        <w:spacing w:before="100" w:beforeAutospacing="1" w:after="100" w:afterAutospacing="1"/>
        <w:jc w:val="center"/>
        <w:rPr>
          <w:rFonts w:asciiTheme="minorHAnsi" w:hAnsiTheme="minorHAnsi" w:cstheme="minorHAnsi"/>
          <w:b/>
          <w:bCs w:val="0"/>
          <w:sz w:val="36"/>
          <w:szCs w:val="36"/>
        </w:rPr>
      </w:pPr>
      <w:r w:rsidRPr="00DB1A1C">
        <w:rPr>
          <w:rFonts w:asciiTheme="minorHAnsi" w:hAnsiTheme="minorHAnsi" w:cstheme="minorHAnsi"/>
          <w:b/>
          <w:bCs w:val="0"/>
          <w:sz w:val="36"/>
          <w:szCs w:val="36"/>
        </w:rPr>
        <w:t>CALL FOR PROPOSALS</w:t>
      </w:r>
    </w:p>
    <w:p w14:paraId="2262474D" w14:textId="77777777" w:rsidR="0008264F" w:rsidRPr="00DB1A1C" w:rsidRDefault="0008264F" w:rsidP="00237631">
      <w:pPr>
        <w:spacing w:before="100" w:beforeAutospacing="1" w:after="100" w:afterAutospacing="1"/>
        <w:jc w:val="center"/>
        <w:rPr>
          <w:rFonts w:asciiTheme="minorHAnsi" w:hAnsiTheme="minorHAnsi" w:cstheme="minorHAnsi"/>
          <w:b/>
          <w:bCs w:val="0"/>
        </w:rPr>
      </w:pPr>
    </w:p>
    <w:p w14:paraId="16044D9F" w14:textId="77777777" w:rsidR="0008264F" w:rsidRPr="00DB1A1C" w:rsidRDefault="0008264F" w:rsidP="00237631">
      <w:pPr>
        <w:spacing w:before="100" w:beforeAutospacing="1" w:after="100" w:afterAutospacing="1"/>
        <w:jc w:val="center"/>
        <w:rPr>
          <w:rFonts w:asciiTheme="minorHAnsi" w:hAnsiTheme="minorHAnsi" w:cstheme="minorHAnsi"/>
          <w:b/>
          <w:bCs w:val="0"/>
        </w:rPr>
      </w:pPr>
    </w:p>
    <w:p w14:paraId="4EC5D02B" w14:textId="078A9788" w:rsidR="008A68AA" w:rsidRPr="00DB1A1C" w:rsidRDefault="00272A9D" w:rsidP="00237631">
      <w:pPr>
        <w:spacing w:before="100" w:beforeAutospacing="1" w:after="100" w:afterAutospacing="1"/>
        <w:jc w:val="center"/>
        <w:rPr>
          <w:rFonts w:asciiTheme="minorHAnsi" w:hAnsiTheme="minorHAnsi" w:cstheme="minorHAnsi"/>
          <w:b/>
          <w:bCs w:val="0"/>
          <w:sz w:val="32"/>
          <w:szCs w:val="32"/>
        </w:rPr>
      </w:pPr>
      <w:r w:rsidRPr="00DB1A1C">
        <w:rPr>
          <w:rFonts w:asciiTheme="minorHAnsi" w:hAnsiTheme="minorHAnsi" w:cstheme="minorHAnsi"/>
          <w:b/>
          <w:bCs w:val="0"/>
          <w:sz w:val="32"/>
          <w:szCs w:val="32"/>
        </w:rPr>
        <w:t>Release Date</w:t>
      </w:r>
      <w:r w:rsidR="00C440A5" w:rsidRPr="00DB1A1C">
        <w:rPr>
          <w:rFonts w:asciiTheme="minorHAnsi" w:hAnsiTheme="minorHAnsi" w:cstheme="minorHAnsi"/>
          <w:b/>
          <w:bCs w:val="0"/>
          <w:sz w:val="32"/>
          <w:szCs w:val="32"/>
        </w:rPr>
        <w:t xml:space="preserve">: </w:t>
      </w:r>
      <w:r w:rsidR="00265336" w:rsidRPr="00265336">
        <w:rPr>
          <w:rFonts w:asciiTheme="minorHAnsi" w:hAnsiTheme="minorHAnsi" w:cstheme="minorHAnsi"/>
          <w:b/>
          <w:bCs w:val="0"/>
          <w:sz w:val="32"/>
          <w:szCs w:val="32"/>
          <w:highlight w:val="yellow"/>
        </w:rPr>
        <w:t>Monday, 30</w:t>
      </w:r>
      <w:r w:rsidR="00C440A5" w:rsidRPr="00265336">
        <w:rPr>
          <w:rFonts w:asciiTheme="minorHAnsi" w:hAnsiTheme="minorHAnsi" w:cstheme="minorHAnsi"/>
          <w:b/>
          <w:bCs w:val="0"/>
          <w:sz w:val="32"/>
          <w:szCs w:val="32"/>
          <w:highlight w:val="yellow"/>
        </w:rPr>
        <w:t xml:space="preserve"> June 2025</w:t>
      </w:r>
    </w:p>
    <w:p w14:paraId="2EE3CFAA" w14:textId="7CB1E78B" w:rsidR="00C440A5" w:rsidRPr="00DB1A1C" w:rsidRDefault="00C440A5" w:rsidP="00237631">
      <w:pPr>
        <w:spacing w:before="100" w:beforeAutospacing="1" w:after="100" w:afterAutospacing="1"/>
        <w:jc w:val="center"/>
        <w:rPr>
          <w:rFonts w:asciiTheme="minorHAnsi" w:hAnsiTheme="minorHAnsi" w:cstheme="minorHAnsi"/>
          <w:b/>
          <w:bCs w:val="0"/>
          <w:sz w:val="32"/>
          <w:szCs w:val="32"/>
        </w:rPr>
      </w:pPr>
      <w:r w:rsidRPr="00DB1A1C">
        <w:rPr>
          <w:rFonts w:asciiTheme="minorHAnsi" w:hAnsiTheme="minorHAnsi" w:cstheme="minorHAnsi"/>
          <w:b/>
          <w:bCs w:val="0"/>
          <w:sz w:val="32"/>
          <w:szCs w:val="32"/>
        </w:rPr>
        <w:t xml:space="preserve">Submission Deadline: </w:t>
      </w:r>
      <w:r w:rsidR="00265336" w:rsidRPr="00265336">
        <w:rPr>
          <w:rFonts w:asciiTheme="minorHAnsi" w:hAnsiTheme="minorHAnsi" w:cstheme="minorHAnsi"/>
          <w:b/>
          <w:bCs w:val="0"/>
          <w:sz w:val="32"/>
          <w:szCs w:val="32"/>
          <w:highlight w:val="yellow"/>
        </w:rPr>
        <w:t xml:space="preserve">Friday, </w:t>
      </w:r>
      <w:r w:rsidRPr="00265336">
        <w:rPr>
          <w:rFonts w:asciiTheme="minorHAnsi" w:hAnsiTheme="minorHAnsi" w:cstheme="minorHAnsi"/>
          <w:b/>
          <w:bCs w:val="0"/>
          <w:sz w:val="32"/>
          <w:szCs w:val="32"/>
          <w:highlight w:val="yellow"/>
        </w:rPr>
        <w:t>2</w:t>
      </w:r>
      <w:r w:rsidR="00FF296F" w:rsidRPr="00265336">
        <w:rPr>
          <w:rFonts w:asciiTheme="minorHAnsi" w:hAnsiTheme="minorHAnsi" w:cstheme="minorHAnsi"/>
          <w:b/>
          <w:bCs w:val="0"/>
          <w:sz w:val="32"/>
          <w:szCs w:val="32"/>
          <w:highlight w:val="yellow"/>
        </w:rPr>
        <w:t>2</w:t>
      </w:r>
      <w:r w:rsidRPr="00265336">
        <w:rPr>
          <w:rFonts w:asciiTheme="minorHAnsi" w:hAnsiTheme="minorHAnsi" w:cstheme="minorHAnsi"/>
          <w:b/>
          <w:bCs w:val="0"/>
          <w:sz w:val="32"/>
          <w:szCs w:val="32"/>
          <w:highlight w:val="yellow"/>
        </w:rPr>
        <w:t xml:space="preserve"> August 2025</w:t>
      </w:r>
    </w:p>
    <w:p w14:paraId="39971DAD" w14:textId="77777777" w:rsidR="00B73178" w:rsidRPr="00DB1A1C" w:rsidRDefault="00B73178" w:rsidP="00237631">
      <w:pPr>
        <w:spacing w:before="100" w:beforeAutospacing="1" w:after="100" w:afterAutospacing="1"/>
        <w:jc w:val="center"/>
        <w:rPr>
          <w:rFonts w:asciiTheme="minorHAnsi" w:hAnsiTheme="minorHAnsi" w:cstheme="minorHAnsi"/>
          <w:b/>
          <w:bCs w:val="0"/>
        </w:rPr>
      </w:pPr>
    </w:p>
    <w:p w14:paraId="05D42E0D" w14:textId="77777777" w:rsidR="00D75A27" w:rsidRPr="00DB1A1C" w:rsidRDefault="00D75A27" w:rsidP="00237631">
      <w:pPr>
        <w:spacing w:before="100" w:beforeAutospacing="1" w:after="100" w:afterAutospacing="1"/>
        <w:jc w:val="center"/>
        <w:rPr>
          <w:rFonts w:asciiTheme="minorHAnsi" w:hAnsiTheme="minorHAnsi" w:cstheme="minorHAnsi"/>
          <w:b/>
          <w:bCs w:val="0"/>
        </w:rPr>
      </w:pPr>
    </w:p>
    <w:p w14:paraId="566C447E" w14:textId="037DCE39" w:rsidR="00B73178" w:rsidRPr="00DB1A1C" w:rsidRDefault="00D75A27" w:rsidP="00237631">
      <w:pPr>
        <w:spacing w:before="100" w:beforeAutospacing="1" w:after="100" w:afterAutospacing="1"/>
        <w:jc w:val="center"/>
        <w:rPr>
          <w:rFonts w:asciiTheme="minorHAnsi" w:hAnsiTheme="minorHAnsi" w:cstheme="minorHAnsi"/>
          <w:b/>
          <w:bCs w:val="0"/>
          <w:sz w:val="28"/>
          <w:szCs w:val="28"/>
        </w:rPr>
      </w:pPr>
      <w:r w:rsidRPr="00DB1A1C">
        <w:rPr>
          <w:rFonts w:asciiTheme="minorHAnsi" w:hAnsiTheme="minorHAnsi" w:cstheme="minorHAnsi"/>
          <w:b/>
          <w:bCs w:val="0"/>
          <w:sz w:val="28"/>
          <w:szCs w:val="28"/>
        </w:rPr>
        <w:t>Concept Note</w:t>
      </w:r>
    </w:p>
    <w:p w14:paraId="35350295" w14:textId="77777777" w:rsidR="00D75A27" w:rsidRPr="00DB1A1C" w:rsidRDefault="00D75A27" w:rsidP="00237631">
      <w:pPr>
        <w:spacing w:before="100" w:beforeAutospacing="1" w:after="100" w:afterAutospacing="1"/>
        <w:rPr>
          <w:rFonts w:asciiTheme="minorHAnsi" w:hAnsiTheme="minorHAnsi" w:cstheme="minorHAnsi"/>
          <w:b/>
          <w:bCs w:val="0"/>
        </w:rPr>
      </w:pPr>
    </w:p>
    <w:p w14:paraId="1A2EB283" w14:textId="0C831D6A" w:rsidR="003176F8" w:rsidRPr="00DB1A1C" w:rsidRDefault="003176F8" w:rsidP="00237631">
      <w:pPr>
        <w:spacing w:before="100" w:beforeAutospacing="1" w:after="100" w:afterAutospacing="1"/>
        <w:rPr>
          <w:rFonts w:asciiTheme="minorHAnsi" w:hAnsiTheme="minorHAnsi" w:cstheme="minorHAnsi"/>
          <w:b/>
          <w:bCs w:val="0"/>
        </w:rPr>
      </w:pPr>
      <w:r w:rsidRPr="00DB1A1C">
        <w:rPr>
          <w:rFonts w:asciiTheme="minorHAnsi" w:hAnsiTheme="minorHAnsi" w:cstheme="minorHAnsi"/>
          <w:b/>
          <w:bCs w:val="0"/>
        </w:rPr>
        <w:br w:type="page"/>
      </w:r>
    </w:p>
    <w:p w14:paraId="4451A24C" w14:textId="77777777" w:rsidR="00E909B6" w:rsidRDefault="00E909B6" w:rsidP="00E909B6">
      <w:pPr>
        <w:pStyle w:val="Heading2"/>
        <w:spacing w:before="100" w:beforeAutospacing="1" w:after="100" w:afterAutospacing="1"/>
        <w:rPr>
          <w:rFonts w:asciiTheme="minorHAnsi" w:eastAsiaTheme="majorEastAsia" w:hAnsiTheme="minorHAnsi" w:cstheme="minorHAnsi"/>
        </w:rPr>
        <w:sectPr w:rsidR="00E909B6" w:rsidSect="00C27181">
          <w:headerReference w:type="even" r:id="rId11"/>
          <w:headerReference w:type="default" r:id="rId12"/>
          <w:footerReference w:type="even" r:id="rId13"/>
          <w:footerReference w:type="default" r:id="rId14"/>
          <w:footerReference w:type="first" r:id="rId15"/>
          <w:pgSz w:w="11909" w:h="16834" w:code="9"/>
          <w:pgMar w:top="755" w:right="1264" w:bottom="1111" w:left="1195" w:header="720" w:footer="720" w:gutter="0"/>
          <w:cols w:space="720"/>
          <w:titlePg/>
          <w:docGrid w:linePitch="360"/>
        </w:sectPr>
      </w:pPr>
      <w:bookmarkStart w:id="0" w:name="_Toc199245042"/>
    </w:p>
    <w:p w14:paraId="2C80B7B6" w14:textId="77777777" w:rsidR="00BA627B" w:rsidRPr="00F70D41" w:rsidRDefault="00BA627B" w:rsidP="00E909B6">
      <w:pPr>
        <w:pStyle w:val="Heading2"/>
        <w:spacing w:before="100" w:beforeAutospacing="1" w:after="100" w:afterAutospacing="1"/>
        <w:rPr>
          <w:rFonts w:asciiTheme="minorHAnsi" w:eastAsiaTheme="majorEastAsia" w:hAnsiTheme="minorHAnsi" w:cstheme="minorHAnsi"/>
          <w:sz w:val="22"/>
          <w:szCs w:val="22"/>
        </w:rPr>
      </w:pPr>
      <w:r w:rsidRPr="00F70D41">
        <w:rPr>
          <w:rFonts w:asciiTheme="minorHAnsi" w:eastAsiaTheme="majorEastAsia" w:hAnsiTheme="minorHAnsi" w:cstheme="minorHAnsi"/>
          <w:sz w:val="22"/>
          <w:szCs w:val="22"/>
        </w:rPr>
        <w:lastRenderedPageBreak/>
        <w:t>Background Information</w:t>
      </w:r>
      <w:bookmarkEnd w:id="0"/>
    </w:p>
    <w:p w14:paraId="6E94FA28" w14:textId="6F6BABCC" w:rsidR="00BA627B" w:rsidRPr="00F70D41" w:rsidRDefault="00FC1313" w:rsidP="00237631">
      <w:pPr>
        <w:spacing w:before="100" w:beforeAutospacing="1" w:after="100" w:afterAutospacing="1"/>
        <w:jc w:val="both"/>
        <w:rPr>
          <w:rFonts w:asciiTheme="minorHAnsi" w:hAnsiTheme="minorHAnsi" w:cstheme="minorHAnsi"/>
          <w:noProof/>
          <w:sz w:val="22"/>
          <w:szCs w:val="22"/>
        </w:rPr>
      </w:pPr>
      <w:r>
        <w:rPr>
          <w:rFonts w:asciiTheme="minorHAnsi" w:hAnsiTheme="minorHAnsi" w:cstheme="minorHAnsi"/>
          <w:noProof/>
          <w:sz w:val="22"/>
          <w:szCs w:val="22"/>
        </w:rPr>
        <w:t xml:space="preserve">The </w:t>
      </w:r>
      <w:hyperlink r:id="rId16" w:history="1">
        <w:r w:rsidRPr="00815F2B">
          <w:rPr>
            <w:rStyle w:val="Hyperlink"/>
            <w:rFonts w:asciiTheme="minorHAnsi" w:hAnsiTheme="minorHAnsi" w:cstheme="minorHAnsi"/>
            <w:noProof/>
            <w:sz w:val="22"/>
            <w:szCs w:val="22"/>
          </w:rPr>
          <w:t>ATTP project</w:t>
        </w:r>
      </w:hyperlink>
      <w:r>
        <w:rPr>
          <w:rFonts w:asciiTheme="minorHAnsi" w:hAnsiTheme="minorHAnsi" w:cstheme="minorHAnsi"/>
          <w:noProof/>
          <w:sz w:val="22"/>
          <w:szCs w:val="22"/>
        </w:rPr>
        <w:t xml:space="preserve"> is a strategic initiative designed to enhance the capacity and influence of think tanks across Africa. This five-year, US$50 million Investment Project Financing (IPF) operation aims to establish a sustainable platform for effective cooperation and harmonization on regional policy issues among country-level policymakers, regional blocs, and think tanks throughout Africa. Covering all countries on the continent, the project emphasizes encouraging collaboration in policy-making for regional integration priorities that provide significant positive externalities and mitigate negative ones. The priority themes of economic transformation and governance, climate change, regional trade, food security, human capital, and digitalization align with the AU’s Agenda 2063, the World Bank's Africa Strategy, and the Sustainable Development Goals (SDGs), with a strong emphasis on gender. These areas may be updated during the implementation of the ATTP project, subject to approval by the Think Tank Platform Steering Committee (TTPSC), to address emerging demands across the continent.</w:t>
      </w:r>
    </w:p>
    <w:p w14:paraId="644DBFCC" w14:textId="5B48EFA7" w:rsidR="00BA627B" w:rsidRPr="00F70D41" w:rsidRDefault="00917403" w:rsidP="00237631">
      <w:pPr>
        <w:spacing w:before="100" w:beforeAutospacing="1" w:after="100" w:afterAutospacing="1"/>
        <w:jc w:val="both"/>
        <w:rPr>
          <w:rFonts w:asciiTheme="minorHAnsi" w:hAnsiTheme="minorHAnsi" w:cstheme="minorHAnsi"/>
          <w:noProof/>
          <w:sz w:val="22"/>
          <w:szCs w:val="22"/>
        </w:rPr>
      </w:pPr>
      <w:r>
        <w:rPr>
          <w:rFonts w:asciiTheme="minorHAnsi" w:hAnsiTheme="minorHAnsi" w:cstheme="minorHAnsi"/>
          <w:noProof/>
          <w:sz w:val="22"/>
          <w:szCs w:val="22"/>
        </w:rPr>
        <w:t xml:space="preserve">This project is designed to empower African think tanks to play a more significant role in driving impactful policy research, thus contributing effectively to policy-making processes. The ATTP project aims to provide African think tanks with essential tools and resources and to create a sustainable platform for generating impactful, evidence-based knowledge on cross-border issues driving intra-continental trade and investment. A key objective of the initiative is to foster collaboration among think tanks, policymakers, and various stakeholders, enabling them to address continental challenges more effectively. </w:t>
      </w:r>
    </w:p>
    <w:p w14:paraId="15C3EB46" w14:textId="45A17B73" w:rsidR="00BA627B" w:rsidRPr="00F70D41" w:rsidRDefault="004E6EA5" w:rsidP="00237631">
      <w:pPr>
        <w:spacing w:before="100" w:beforeAutospacing="1" w:after="100" w:afterAutospacing="1"/>
        <w:jc w:val="both"/>
        <w:rPr>
          <w:rFonts w:asciiTheme="minorHAnsi" w:hAnsiTheme="minorHAnsi" w:cstheme="minorHAnsi"/>
          <w:noProof/>
          <w:sz w:val="22"/>
          <w:szCs w:val="22"/>
          <w:lang w:val="en-MW"/>
        </w:rPr>
      </w:pPr>
      <w:r>
        <w:rPr>
          <w:rFonts w:asciiTheme="minorHAnsi" w:hAnsiTheme="minorHAnsi" w:cstheme="minorHAnsi"/>
          <w:noProof/>
          <w:sz w:val="22"/>
          <w:szCs w:val="22"/>
        </w:rPr>
        <w:t>Through targeted capacity-building efforts, including training and knowledge sharing, the project aims to equip African think tanks with best practices and innovative approaches. Additionally, it fosters research and innovation, supporting the creation of evidence-based policy solutions. By enhancing visibility and networking opportunities, the ATTP project strives to elevate the global and regional presence of African think tanks, ultimately reinforcing their role in shaping policy and promoting sustainable development throughout Africa. The first ATTP project is led by six themes selected to guide policy research crucial to addressing Africa's challenges in implementing the AU’s Agenda 2063. Each theme highlights a key area of focus where evidence-based policy research is vital for overcoming obstacles and advancing sustainable development across the continent.</w:t>
      </w:r>
    </w:p>
    <w:p w14:paraId="1825A111" w14:textId="77777777" w:rsidR="00BA627B" w:rsidRPr="00F70D41" w:rsidRDefault="00BA627B" w:rsidP="00237631">
      <w:pPr>
        <w:pStyle w:val="Heading2"/>
        <w:spacing w:before="100" w:beforeAutospacing="1" w:after="100" w:afterAutospacing="1"/>
        <w:rPr>
          <w:rFonts w:asciiTheme="minorHAnsi" w:eastAsiaTheme="majorEastAsia" w:hAnsiTheme="minorHAnsi" w:cstheme="minorHAnsi"/>
          <w:sz w:val="22"/>
          <w:szCs w:val="22"/>
        </w:rPr>
      </w:pPr>
      <w:bookmarkStart w:id="1" w:name="_Toc199245043"/>
      <w:r w:rsidRPr="00F70D41">
        <w:rPr>
          <w:rFonts w:asciiTheme="minorHAnsi" w:eastAsiaTheme="majorEastAsia" w:hAnsiTheme="minorHAnsi" w:cstheme="minorHAnsi"/>
          <w:sz w:val="22"/>
          <w:szCs w:val="22"/>
        </w:rPr>
        <w:t>The ATTP Project Development Objective</w:t>
      </w:r>
      <w:bookmarkEnd w:id="1"/>
      <w:r w:rsidRPr="00F70D41">
        <w:rPr>
          <w:rFonts w:asciiTheme="minorHAnsi" w:eastAsiaTheme="majorEastAsia" w:hAnsiTheme="minorHAnsi" w:cstheme="minorHAnsi"/>
          <w:sz w:val="22"/>
          <w:szCs w:val="22"/>
        </w:rPr>
        <w:t xml:space="preserve"> </w:t>
      </w:r>
    </w:p>
    <w:p w14:paraId="76A0CB56" w14:textId="70FA1444" w:rsidR="00BA627B" w:rsidRPr="00F70D41" w:rsidRDefault="00BA627B" w:rsidP="0023763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rPr>
        <w:t xml:space="preserve">The proposed development objective of the ATTP project is </w:t>
      </w:r>
      <w:r w:rsidRPr="00F70D41">
        <w:rPr>
          <w:rFonts w:asciiTheme="minorHAnsi" w:hAnsiTheme="minorHAnsi" w:cstheme="minorHAnsi"/>
          <w:i/>
          <w:iCs/>
          <w:noProof/>
          <w:sz w:val="22"/>
          <w:szCs w:val="22"/>
        </w:rPr>
        <w:t xml:space="preserve">to establish a sustainable platform </w:t>
      </w:r>
      <w:r w:rsidR="008A7319" w:rsidRPr="00F70D41">
        <w:rPr>
          <w:rFonts w:asciiTheme="minorHAnsi" w:hAnsiTheme="minorHAnsi" w:cstheme="minorHAnsi"/>
          <w:i/>
          <w:iCs/>
          <w:noProof/>
          <w:sz w:val="22"/>
          <w:szCs w:val="22"/>
        </w:rPr>
        <w:t>that strengthens the capacity for effective policy research and policy-making on cross-border</w:t>
      </w:r>
      <w:r w:rsidRPr="00F70D41">
        <w:rPr>
          <w:rFonts w:asciiTheme="minorHAnsi" w:hAnsiTheme="minorHAnsi" w:cstheme="minorHAnsi"/>
          <w:i/>
          <w:iCs/>
          <w:noProof/>
          <w:sz w:val="22"/>
          <w:szCs w:val="22"/>
        </w:rPr>
        <w:t xml:space="preserve"> priorities in Africa</w:t>
      </w:r>
      <w:r w:rsidRPr="00F70D41">
        <w:rPr>
          <w:rFonts w:asciiTheme="minorHAnsi" w:hAnsiTheme="minorHAnsi" w:cstheme="minorHAnsi"/>
          <w:noProof/>
          <w:sz w:val="22"/>
          <w:szCs w:val="22"/>
        </w:rPr>
        <w:t xml:space="preserve">. </w:t>
      </w:r>
      <w:r w:rsidRPr="00F70D41">
        <w:rPr>
          <w:rFonts w:asciiTheme="minorHAnsi" w:hAnsiTheme="minorHAnsi" w:cstheme="minorHAnsi"/>
          <w:noProof/>
          <w:sz w:val="22"/>
          <w:szCs w:val="22"/>
          <w:lang w:val="en-MW"/>
        </w:rPr>
        <w:t xml:space="preserve">The ATTP Project is a pivotal initiative </w:t>
      </w:r>
      <w:r w:rsidR="008A7319" w:rsidRPr="00F70D41">
        <w:rPr>
          <w:rFonts w:asciiTheme="minorHAnsi" w:hAnsiTheme="minorHAnsi" w:cstheme="minorHAnsi"/>
          <w:noProof/>
          <w:sz w:val="22"/>
          <w:szCs w:val="22"/>
          <w:lang w:val="en-MW"/>
        </w:rPr>
        <w:t>aimed at establishing</w:t>
      </w:r>
      <w:r w:rsidRPr="00F70D41">
        <w:rPr>
          <w:rFonts w:asciiTheme="minorHAnsi" w:hAnsiTheme="minorHAnsi" w:cstheme="minorHAnsi"/>
          <w:noProof/>
          <w:sz w:val="22"/>
          <w:szCs w:val="22"/>
          <w:lang w:val="en-MW"/>
        </w:rPr>
        <w:t xml:space="preserve"> a sustainable framework for cooperation and harmonization on regional policy issues across the African continent. </w:t>
      </w:r>
    </w:p>
    <w:p w14:paraId="11A58AFF" w14:textId="23C2E6A6" w:rsidR="00BA627B" w:rsidRPr="00F70D41" w:rsidRDefault="00BA627B" w:rsidP="0023763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 xml:space="preserve">A central aspect of the project is its emphasis on six priority themes: </w:t>
      </w:r>
      <w:r w:rsidRPr="00F70D41">
        <w:rPr>
          <w:rFonts w:asciiTheme="minorHAnsi" w:hAnsiTheme="minorHAnsi" w:cstheme="minorHAnsi"/>
          <w:i/>
          <w:iCs/>
          <w:noProof/>
          <w:sz w:val="22"/>
          <w:szCs w:val="22"/>
          <w:lang w:val="en-MW"/>
        </w:rPr>
        <w:t xml:space="preserve">economic transformation and governance, climate change, regional trade, food security, human capital, </w:t>
      </w:r>
      <w:r w:rsidRPr="00F70D41">
        <w:rPr>
          <w:rFonts w:asciiTheme="minorHAnsi" w:hAnsiTheme="minorHAnsi" w:cstheme="minorHAnsi"/>
          <w:noProof/>
          <w:sz w:val="22"/>
          <w:szCs w:val="22"/>
          <w:lang w:val="en-MW"/>
        </w:rPr>
        <w:t>and</w:t>
      </w:r>
      <w:r w:rsidRPr="00F70D41">
        <w:rPr>
          <w:rFonts w:asciiTheme="minorHAnsi" w:hAnsiTheme="minorHAnsi" w:cstheme="minorHAnsi"/>
          <w:i/>
          <w:iCs/>
          <w:noProof/>
          <w:sz w:val="22"/>
          <w:szCs w:val="22"/>
          <w:lang w:val="en-MW"/>
        </w:rPr>
        <w:t xml:space="preserve"> digitalization</w:t>
      </w:r>
      <w:r w:rsidRPr="00F70D41">
        <w:rPr>
          <w:rFonts w:asciiTheme="minorHAnsi" w:hAnsiTheme="minorHAnsi" w:cstheme="minorHAnsi"/>
          <w:noProof/>
          <w:sz w:val="22"/>
          <w:szCs w:val="22"/>
          <w:lang w:val="en-MW"/>
        </w:rPr>
        <w:t>. Each thematic area is integral to Africa's development</w:t>
      </w:r>
      <w:r w:rsidR="008A7319" w:rsidRPr="00F70D41">
        <w:rPr>
          <w:rFonts w:asciiTheme="minorHAnsi" w:hAnsiTheme="minorHAnsi" w:cstheme="minorHAnsi"/>
          <w:noProof/>
          <w:sz w:val="22"/>
          <w:szCs w:val="22"/>
          <w:lang w:val="en-MW"/>
        </w:rPr>
        <w:t>, with a strong focus</w:t>
      </w:r>
      <w:r w:rsidRPr="00F70D41">
        <w:rPr>
          <w:rFonts w:asciiTheme="minorHAnsi" w:hAnsiTheme="minorHAnsi" w:cstheme="minorHAnsi"/>
          <w:noProof/>
          <w:sz w:val="22"/>
          <w:szCs w:val="22"/>
          <w:lang w:val="en-MW"/>
        </w:rPr>
        <w:t xml:space="preserve"> on gender, ensuring that policy solutions are inclusive and equitable. The project is designed to be dynamic, allowing for updates to priority areas during implementation with the approval of the Think Tank Platform Steering Committee (TTPSC), to respond effectively to emerging demands across Africa.</w:t>
      </w:r>
    </w:p>
    <w:p w14:paraId="16D209B8" w14:textId="77777777" w:rsidR="00BA627B" w:rsidRPr="00F70D41" w:rsidRDefault="00BA627B" w:rsidP="0023763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The project's approach also provides an opportunity to establish or support continental policy hubs that focus on priority policy areas. These hubs are expected to produce public goods relevant for all countries, delivering economies of scale in research standards, data collection, and the development of a robust pool of policy professionals. By minimizing the costs associated with supporting continental policy priorities, the project aims to avoid the duplication and fragmentation of efforts that often result from isolated national approaches.</w:t>
      </w:r>
    </w:p>
    <w:p w14:paraId="12CB8A59" w14:textId="77777777" w:rsidR="00BA627B" w:rsidRPr="00F70D41" w:rsidRDefault="00BA627B" w:rsidP="0023763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lastRenderedPageBreak/>
        <w:t>Overall, the ATTP project is vital for implementing the AU Agenda 2063. By fostering collaboration and enhancing policy coherence, the project maximizes the impact of regional integration efforts, ensuring that Africa can effectively address its challenges and leverage its opportunities for sustainable development.</w:t>
      </w:r>
    </w:p>
    <w:p w14:paraId="25873C25" w14:textId="77777777" w:rsidR="00BA627B" w:rsidRPr="00F70D41" w:rsidRDefault="00BA627B" w:rsidP="00237631">
      <w:pPr>
        <w:pStyle w:val="Heading2"/>
        <w:spacing w:before="100" w:beforeAutospacing="1" w:after="100" w:afterAutospacing="1"/>
        <w:rPr>
          <w:rFonts w:asciiTheme="minorHAnsi" w:eastAsiaTheme="majorEastAsia" w:hAnsiTheme="minorHAnsi" w:cstheme="minorHAnsi"/>
          <w:sz w:val="22"/>
          <w:szCs w:val="22"/>
        </w:rPr>
      </w:pPr>
      <w:bookmarkStart w:id="2" w:name="_Toc199245044"/>
      <w:r w:rsidRPr="00F70D41">
        <w:rPr>
          <w:rFonts w:asciiTheme="minorHAnsi" w:eastAsiaTheme="majorEastAsia" w:hAnsiTheme="minorHAnsi" w:cstheme="minorHAnsi"/>
          <w:sz w:val="22"/>
          <w:szCs w:val="22"/>
        </w:rPr>
        <w:t>The ATTP Project Components</w:t>
      </w:r>
      <w:bookmarkEnd w:id="2"/>
      <w:r w:rsidRPr="00F70D41">
        <w:rPr>
          <w:rFonts w:asciiTheme="minorHAnsi" w:eastAsiaTheme="majorEastAsia" w:hAnsiTheme="minorHAnsi" w:cstheme="minorHAnsi"/>
          <w:sz w:val="22"/>
          <w:szCs w:val="22"/>
        </w:rPr>
        <w:t xml:space="preserve"> </w:t>
      </w:r>
    </w:p>
    <w:p w14:paraId="501B19AD" w14:textId="77777777" w:rsidR="00BA627B" w:rsidRPr="00F70D41" w:rsidRDefault="00BA627B" w:rsidP="00237631">
      <w:p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The ATTP project will be implemented through three main components as follows:</w:t>
      </w:r>
    </w:p>
    <w:p w14:paraId="3AB4F191" w14:textId="77777777" w:rsidR="00BA627B" w:rsidRPr="00F70D41" w:rsidRDefault="00BA627B" w:rsidP="00237631">
      <w:pPr>
        <w:pStyle w:val="Heading3"/>
        <w:spacing w:before="100" w:beforeAutospacing="1" w:after="100" w:afterAutospacing="1"/>
        <w:rPr>
          <w:rFonts w:asciiTheme="minorHAnsi" w:hAnsiTheme="minorHAnsi" w:cstheme="minorHAnsi"/>
          <w:noProof/>
          <w:sz w:val="22"/>
          <w:szCs w:val="22"/>
        </w:rPr>
      </w:pPr>
      <w:bookmarkStart w:id="3" w:name="_Toc199245045"/>
      <w:r w:rsidRPr="00F70D41">
        <w:rPr>
          <w:rFonts w:asciiTheme="minorHAnsi" w:hAnsiTheme="minorHAnsi" w:cstheme="minorHAnsi"/>
          <w:noProof/>
          <w:sz w:val="22"/>
          <w:szCs w:val="22"/>
        </w:rPr>
        <w:t>Component 1: Establish Capacity to Operate A Sustainable Policy-Making Platform</w:t>
      </w:r>
      <w:bookmarkEnd w:id="3"/>
    </w:p>
    <w:p w14:paraId="4AA41AD9" w14:textId="21E7343F" w:rsidR="00BA627B" w:rsidRPr="00F70D41" w:rsidRDefault="00BA627B" w:rsidP="00237631">
      <w:p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 xml:space="preserve">Component 1 focuses on establishing the capacity to operate a sustainable policy-making platform with a budget of US$3.5 million. This initiative aims to enhance the AUC’s ability to create and implement structures and systems for a continent-wide platform that facilitates economic policy-making. It involves the competitive selection of think tanks as consortia, which will submit proposals addressing at least four of the six regional priority themes. These think tanks will collaborate with relevant Specialized Technical Committees (STCs), fostering a network of researchers and policymakers. The goal is to support knowledge generation and </w:t>
      </w:r>
      <w:r w:rsidR="008A7319" w:rsidRPr="00F70D41">
        <w:rPr>
          <w:rFonts w:asciiTheme="minorHAnsi" w:hAnsiTheme="minorHAnsi" w:cstheme="minorHAnsi"/>
          <w:noProof/>
          <w:sz w:val="22"/>
          <w:szCs w:val="22"/>
        </w:rPr>
        <w:t>provide advice on continental priority issues, thereby strengthening the platform's role in regional economic policymaking</w:t>
      </w:r>
      <w:r w:rsidRPr="00F70D41">
        <w:rPr>
          <w:rFonts w:asciiTheme="minorHAnsi" w:hAnsiTheme="minorHAnsi" w:cstheme="minorHAnsi"/>
          <w:noProof/>
          <w:sz w:val="22"/>
          <w:szCs w:val="22"/>
        </w:rPr>
        <w:t xml:space="preserve">. The resources under this Component will be utilized to finance the following Tasks. </w:t>
      </w:r>
    </w:p>
    <w:p w14:paraId="14A6C223"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Establishing a secretariat to manage the platform</w:t>
      </w:r>
    </w:p>
    <w:p w14:paraId="5C72813E"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Establishing and maintaining the TTPSC, including its meetings</w:t>
      </w:r>
    </w:p>
    <w:p w14:paraId="2FD52122"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Designing and implementing monitoring and evaluation (M&amp;E) strategies for the platform</w:t>
      </w:r>
    </w:p>
    <w:p w14:paraId="1E64E7A0"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Establishing mechanisms to draw and learn from lessons during implementation</w:t>
      </w:r>
    </w:p>
    <w:p w14:paraId="2016A989"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Building and maintaining a network of think tanks, RECs, and policymakers</w:t>
      </w:r>
    </w:p>
    <w:p w14:paraId="2072C064"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Organizing meetings of African governments, RECs, and other partners to identify and discuss regional policy challenges</w:t>
      </w:r>
    </w:p>
    <w:p w14:paraId="6D4B8B13" w14:textId="77777777" w:rsidR="00BA627B" w:rsidRPr="00F70D41" w:rsidRDefault="00BA627B" w:rsidP="00237631">
      <w:pPr>
        <w:pStyle w:val="Heading3"/>
        <w:spacing w:before="100" w:beforeAutospacing="1" w:after="100" w:afterAutospacing="1"/>
        <w:rPr>
          <w:rFonts w:asciiTheme="minorHAnsi" w:hAnsiTheme="minorHAnsi" w:cstheme="minorHAnsi"/>
          <w:noProof/>
          <w:sz w:val="22"/>
          <w:szCs w:val="22"/>
        </w:rPr>
      </w:pPr>
      <w:bookmarkStart w:id="4" w:name="_Toc199245046"/>
      <w:r w:rsidRPr="00F70D41">
        <w:rPr>
          <w:rFonts w:asciiTheme="minorHAnsi" w:hAnsiTheme="minorHAnsi" w:cstheme="minorHAnsi"/>
          <w:noProof/>
          <w:sz w:val="22"/>
          <w:szCs w:val="22"/>
        </w:rPr>
        <w:t>Component 2: Strengthen Policy Research's Quality, Relevance, and Uptake on Priority Issues</w:t>
      </w:r>
      <w:bookmarkEnd w:id="4"/>
    </w:p>
    <w:p w14:paraId="06235470" w14:textId="1E658EFD" w:rsidR="00BA627B" w:rsidRPr="00F70D41" w:rsidRDefault="00BA627B" w:rsidP="00237631">
      <w:p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lang w:val="en-MW"/>
        </w:rPr>
        <w:t>Component 2, with a budget of US$35.5 million, focuses on strengthening the capacity of think tanks and policy research institutions</w:t>
      </w:r>
      <w:r w:rsidRPr="00F70D41">
        <w:rPr>
          <w:rFonts w:asciiTheme="minorHAnsi" w:hAnsiTheme="minorHAnsi" w:cstheme="minorHAnsi"/>
          <w:noProof/>
          <w:sz w:val="22"/>
          <w:szCs w:val="22"/>
        </w:rPr>
        <w:t xml:space="preserve">. This includes providing technical assistance and training to think tanks, supporting the quality and </w:t>
      </w:r>
      <w:r w:rsidR="004B74EE" w:rsidRPr="00F70D41">
        <w:rPr>
          <w:rFonts w:asciiTheme="minorHAnsi" w:hAnsiTheme="minorHAnsi" w:cstheme="minorHAnsi"/>
          <w:noProof/>
          <w:sz w:val="22"/>
          <w:szCs w:val="22"/>
        </w:rPr>
        <w:t>dissemination of research, facilitating resource mobilization efforts, establishing a peer network for female economic researchers, and conducting</w:t>
      </w:r>
      <w:r w:rsidRPr="00F70D41">
        <w:rPr>
          <w:rFonts w:asciiTheme="minorHAnsi" w:hAnsiTheme="minorHAnsi" w:cstheme="minorHAnsi"/>
          <w:noProof/>
          <w:sz w:val="22"/>
          <w:szCs w:val="22"/>
        </w:rPr>
        <w:t xml:space="preserve"> a study to research and analyze previous initiatives aimed at increasing female participation in policy research. The resources under this Component will be utilized to finance the following Tasks. </w:t>
      </w:r>
    </w:p>
    <w:p w14:paraId="146AFBF8"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Create and maintain a database of African and global think tanks, including information on the number of female professionals.</w:t>
      </w:r>
    </w:p>
    <w:p w14:paraId="6751242B"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Organize knowledge exchange events, such as regional conferences and forums, to align policy researchers and policymakers on policy needs and promote uptake and adoption</w:t>
      </w:r>
    </w:p>
    <w:p w14:paraId="2EE585FA"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Facilitate fellowships or secondment programs between governments and think tanks to enhance research skills and narrow the research-policy gap, supporting both government and think tank capacities</w:t>
      </w:r>
    </w:p>
    <w:p w14:paraId="36518111"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Provide training and capacity building for policymakers, civil society, and other stakeholders to develop their research and analytical capabilities</w:t>
      </w:r>
    </w:p>
    <w:p w14:paraId="6FD13A52"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Create and maintain an online Africa Knowledge Repository of existing policy research, including data on research outputs with female authors.</w:t>
      </w:r>
    </w:p>
    <w:p w14:paraId="48B75120"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Finance high-quality research on priority issues and support think tanks' capacity building to provide a knowledge and evidence base for regional policy making and engagement.</w:t>
      </w:r>
    </w:p>
    <w:p w14:paraId="3BB023D9" w14:textId="77777777" w:rsidR="00BA627B" w:rsidRPr="00F70D41" w:rsidRDefault="00BA627B" w:rsidP="00237631">
      <w:pPr>
        <w:pStyle w:val="Heading3"/>
        <w:spacing w:before="100" w:beforeAutospacing="1" w:after="100" w:afterAutospacing="1"/>
        <w:rPr>
          <w:rFonts w:asciiTheme="minorHAnsi" w:hAnsiTheme="minorHAnsi" w:cstheme="minorHAnsi"/>
          <w:noProof/>
          <w:sz w:val="22"/>
          <w:szCs w:val="22"/>
        </w:rPr>
      </w:pPr>
      <w:bookmarkStart w:id="5" w:name="_Toc199245047"/>
      <w:r w:rsidRPr="00F70D41">
        <w:rPr>
          <w:rFonts w:asciiTheme="minorHAnsi" w:hAnsiTheme="minorHAnsi" w:cstheme="minorHAnsi"/>
          <w:noProof/>
          <w:sz w:val="22"/>
          <w:szCs w:val="22"/>
        </w:rPr>
        <w:lastRenderedPageBreak/>
        <w:t>Component 3: Support Platform Sustainability</w:t>
      </w:r>
      <w:bookmarkEnd w:id="5"/>
    </w:p>
    <w:p w14:paraId="6F5C12E5" w14:textId="6C94243E" w:rsidR="00BA627B" w:rsidRPr="00F70D41" w:rsidRDefault="00BA627B" w:rsidP="00237631">
      <w:p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 xml:space="preserve">With a budget of US$11 million, this project component aims to support the think tank platform and policy research over the long term. This includes developing the AUC’s capacity to mobilize resources and establish facilities for crowdfunding from various stakeholders. The Component will explore the establishment of a special fund and an endowment fund to pool resources from African governments, the private sector, foundations, individuals, and institutional donors. </w:t>
      </w:r>
      <w:r w:rsidR="004B74EE" w:rsidRPr="00F70D41">
        <w:rPr>
          <w:rFonts w:asciiTheme="minorHAnsi" w:hAnsiTheme="minorHAnsi" w:cstheme="minorHAnsi"/>
          <w:noProof/>
          <w:sz w:val="22"/>
          <w:szCs w:val="22"/>
        </w:rPr>
        <w:t xml:space="preserve">The endowment fund </w:t>
      </w:r>
      <w:r w:rsidR="00E13DEA" w:rsidRPr="00F70D41">
        <w:rPr>
          <w:rFonts w:asciiTheme="minorHAnsi" w:hAnsiTheme="minorHAnsi" w:cstheme="minorHAnsi"/>
          <w:noProof/>
          <w:sz w:val="22"/>
          <w:szCs w:val="22"/>
        </w:rPr>
        <w:t>aims to support further research and capacity-building efforts beyond the expiration of the ATTP project period</w:t>
      </w:r>
      <w:r w:rsidRPr="00F70D41">
        <w:rPr>
          <w:rFonts w:asciiTheme="minorHAnsi" w:hAnsiTheme="minorHAnsi" w:cstheme="minorHAnsi"/>
          <w:noProof/>
          <w:sz w:val="22"/>
          <w:szCs w:val="22"/>
        </w:rPr>
        <w:t>. The resources under this Component will be utilized to finance the following Tasks.</w:t>
      </w:r>
    </w:p>
    <w:p w14:paraId="3A4DDDF1"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Defining Fund Purpose and Governance Framework</w:t>
      </w:r>
    </w:p>
    <w:p w14:paraId="58483F0A" w14:textId="77777777" w:rsidR="00BA627B" w:rsidRPr="00F70D41" w:rsidRDefault="00BA627B" w:rsidP="005D5D6B">
      <w:pPr>
        <w:pStyle w:val="ListParagraph"/>
        <w:numPr>
          <w:ilvl w:val="0"/>
          <w:numId w:val="2"/>
        </w:num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Develop and Implement a Resource Mobilization Strategy for Securing Capitalization and Financing</w:t>
      </w:r>
    </w:p>
    <w:p w14:paraId="66A75053" w14:textId="77777777" w:rsidR="00BA627B" w:rsidRPr="00F70D41" w:rsidRDefault="00BA627B" w:rsidP="00237631">
      <w:pPr>
        <w:pStyle w:val="Heading2"/>
        <w:spacing w:before="100" w:beforeAutospacing="1" w:after="100" w:afterAutospacing="1"/>
        <w:rPr>
          <w:rFonts w:asciiTheme="minorHAnsi" w:eastAsiaTheme="majorEastAsia" w:hAnsiTheme="minorHAnsi" w:cstheme="minorHAnsi"/>
          <w:sz w:val="22"/>
          <w:szCs w:val="22"/>
        </w:rPr>
      </w:pPr>
      <w:bookmarkStart w:id="6" w:name="_Toc199245048"/>
      <w:r w:rsidRPr="00F70D41">
        <w:rPr>
          <w:rFonts w:asciiTheme="minorHAnsi" w:eastAsiaTheme="majorEastAsia" w:hAnsiTheme="minorHAnsi" w:cstheme="minorHAnsi"/>
          <w:sz w:val="22"/>
          <w:szCs w:val="22"/>
        </w:rPr>
        <w:t>The Project’s Logical Framework</w:t>
      </w:r>
      <w:bookmarkEnd w:id="6"/>
      <w:r w:rsidRPr="00F70D41">
        <w:rPr>
          <w:rFonts w:asciiTheme="minorHAnsi" w:eastAsiaTheme="majorEastAsia" w:hAnsiTheme="minorHAnsi" w:cstheme="minorHAnsi"/>
          <w:sz w:val="22"/>
          <w:szCs w:val="22"/>
        </w:rPr>
        <w:t xml:space="preserve"> </w:t>
      </w:r>
    </w:p>
    <w:p w14:paraId="3BC17D5C" w14:textId="034D0789" w:rsidR="00BA627B" w:rsidRPr="00F70D41" w:rsidRDefault="00BA627B" w:rsidP="00237631">
      <w:pPr>
        <w:spacing w:before="100" w:beforeAutospacing="1" w:after="100" w:afterAutospacing="1"/>
        <w:jc w:val="both"/>
        <w:rPr>
          <w:rFonts w:asciiTheme="minorHAnsi" w:hAnsiTheme="minorHAnsi" w:cstheme="minorHAnsi"/>
          <w:noProof/>
          <w:sz w:val="22"/>
          <w:szCs w:val="22"/>
        </w:rPr>
      </w:pPr>
      <w:r w:rsidRPr="00F70D41">
        <w:rPr>
          <w:rFonts w:asciiTheme="minorHAnsi" w:hAnsiTheme="minorHAnsi" w:cstheme="minorHAnsi"/>
          <w:noProof/>
          <w:sz w:val="22"/>
          <w:szCs w:val="22"/>
        </w:rPr>
        <w:t xml:space="preserve">Based on the proposed components and tasks, the ATTP project </w:t>
      </w:r>
      <w:r w:rsidR="004B74EE" w:rsidRPr="00F70D41">
        <w:rPr>
          <w:rFonts w:asciiTheme="minorHAnsi" w:hAnsiTheme="minorHAnsi" w:cstheme="minorHAnsi"/>
          <w:noProof/>
          <w:sz w:val="22"/>
          <w:szCs w:val="22"/>
        </w:rPr>
        <w:t>aims to produce a series of benefits streams related to improved</w:t>
      </w:r>
      <w:r w:rsidRPr="00F70D41">
        <w:rPr>
          <w:rFonts w:asciiTheme="minorHAnsi" w:hAnsiTheme="minorHAnsi" w:cstheme="minorHAnsi"/>
          <w:noProof/>
          <w:sz w:val="22"/>
          <w:szCs w:val="22"/>
        </w:rPr>
        <w:t xml:space="preserve"> policymaking and implementation across Africa. </w:t>
      </w:r>
      <w:r w:rsidRPr="00F70D41">
        <w:rPr>
          <w:rFonts w:asciiTheme="minorHAnsi" w:hAnsiTheme="minorHAnsi" w:cstheme="minorHAnsi"/>
          <w:noProof/>
          <w:sz w:val="22"/>
          <w:szCs w:val="22"/>
          <w:lang w:val="en-MW"/>
        </w:rPr>
        <w:t>The ATTP project's logical framework is centered on establishing a robust Think Tank Platform for researching continental priority issues generated by African Think Tanks, particularly policy research conducted by female researchers. Figure 1</w:t>
      </w:r>
      <w:r w:rsidRPr="00F70D41">
        <w:rPr>
          <w:rFonts w:asciiTheme="minorHAnsi" w:hAnsiTheme="minorHAnsi" w:cstheme="minorHAnsi"/>
          <w:noProof/>
          <w:sz w:val="22"/>
          <w:szCs w:val="22"/>
        </w:rPr>
        <w:t xml:space="preserve"> summarizes the ATTP project logic based on the proposed interventions. </w:t>
      </w:r>
    </w:p>
    <w:p w14:paraId="08F2F9E8" w14:textId="77777777" w:rsidR="00BA627B" w:rsidRPr="00F70D41" w:rsidRDefault="00BA627B" w:rsidP="00B316A8">
      <w:pPr>
        <w:jc w:val="both"/>
        <w:rPr>
          <w:rFonts w:asciiTheme="minorHAnsi" w:hAnsiTheme="minorHAnsi" w:cstheme="minorHAnsi"/>
          <w:noProof/>
          <w:sz w:val="22"/>
          <w:szCs w:val="22"/>
        </w:rPr>
      </w:pPr>
      <w:r w:rsidRPr="00F70D41">
        <w:rPr>
          <w:rFonts w:asciiTheme="minorHAnsi" w:hAnsiTheme="minorHAnsi" w:cstheme="minorHAnsi"/>
          <w:noProof/>
          <w:sz w:val="22"/>
          <w:szCs w:val="22"/>
        </w:rPr>
        <w:drawing>
          <wp:inline distT="0" distB="0" distL="0" distR="0" wp14:anchorId="320B7B1B" wp14:editId="500CAB04">
            <wp:extent cx="6062743" cy="3172426"/>
            <wp:effectExtent l="0" t="0" r="0" b="9525"/>
            <wp:docPr id="1298290196" name="Picture 2" descr="A close-up of a chart&#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8290196" name="Picture 2" descr="A close-up of a chart&#10;&#10;AI-generated content may be incorrect."/>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123089" cy="3204003"/>
                    </a:xfrm>
                    <a:prstGeom prst="rect">
                      <a:avLst/>
                    </a:prstGeom>
                    <a:noFill/>
                  </pic:spPr>
                </pic:pic>
              </a:graphicData>
            </a:graphic>
          </wp:inline>
        </w:drawing>
      </w:r>
    </w:p>
    <w:p w14:paraId="6C69F7B2" w14:textId="77777777" w:rsidR="00BA627B" w:rsidRPr="00F70D41" w:rsidRDefault="00BA627B" w:rsidP="00B316A8">
      <w:pPr>
        <w:spacing w:after="100" w:afterAutospacing="1"/>
        <w:jc w:val="center"/>
        <w:rPr>
          <w:rFonts w:asciiTheme="minorHAnsi" w:hAnsiTheme="minorHAnsi" w:cstheme="minorHAnsi"/>
          <w:b/>
          <w:bCs w:val="0"/>
          <w:sz w:val="22"/>
          <w:szCs w:val="22"/>
        </w:rPr>
      </w:pPr>
      <w:bookmarkStart w:id="7" w:name="_Toc198642348"/>
      <w:r w:rsidRPr="00F70D41">
        <w:rPr>
          <w:rFonts w:asciiTheme="minorHAnsi" w:hAnsiTheme="minorHAnsi" w:cstheme="minorHAnsi"/>
          <w:b/>
          <w:sz w:val="22"/>
          <w:szCs w:val="22"/>
        </w:rPr>
        <w:t xml:space="preserve">Figure </w:t>
      </w:r>
      <w:r w:rsidRPr="00F70D41">
        <w:rPr>
          <w:rFonts w:asciiTheme="minorHAnsi" w:hAnsiTheme="minorHAnsi" w:cstheme="minorHAnsi"/>
          <w:b/>
          <w:bCs w:val="0"/>
          <w:color w:val="2B579A"/>
          <w:sz w:val="22"/>
          <w:szCs w:val="22"/>
        </w:rPr>
        <w:fldChar w:fldCharType="begin"/>
      </w:r>
      <w:r w:rsidRPr="00F70D41">
        <w:rPr>
          <w:rFonts w:asciiTheme="minorHAnsi" w:hAnsiTheme="minorHAnsi" w:cstheme="minorHAnsi"/>
          <w:b/>
          <w:sz w:val="22"/>
          <w:szCs w:val="22"/>
        </w:rPr>
        <w:instrText xml:space="preserve"> SEQ Figure \* ARABIC </w:instrText>
      </w:r>
      <w:r w:rsidRPr="00F70D41">
        <w:rPr>
          <w:rFonts w:asciiTheme="minorHAnsi" w:hAnsiTheme="minorHAnsi" w:cstheme="minorHAnsi"/>
          <w:b/>
          <w:bCs w:val="0"/>
          <w:color w:val="2B579A"/>
          <w:sz w:val="22"/>
          <w:szCs w:val="22"/>
        </w:rPr>
        <w:fldChar w:fldCharType="separate"/>
      </w:r>
      <w:r w:rsidRPr="00F70D41">
        <w:rPr>
          <w:rFonts w:asciiTheme="minorHAnsi" w:hAnsiTheme="minorHAnsi" w:cstheme="minorHAnsi"/>
          <w:b/>
          <w:noProof/>
          <w:sz w:val="22"/>
          <w:szCs w:val="22"/>
        </w:rPr>
        <w:t>1</w:t>
      </w:r>
      <w:r w:rsidRPr="00F70D41">
        <w:rPr>
          <w:rFonts w:asciiTheme="minorHAnsi" w:hAnsiTheme="minorHAnsi" w:cstheme="minorHAnsi"/>
          <w:b/>
          <w:bCs w:val="0"/>
          <w:color w:val="2B579A"/>
          <w:sz w:val="22"/>
          <w:szCs w:val="22"/>
        </w:rPr>
        <w:fldChar w:fldCharType="end"/>
      </w:r>
      <w:r w:rsidRPr="00F70D41">
        <w:rPr>
          <w:rFonts w:asciiTheme="minorHAnsi" w:hAnsiTheme="minorHAnsi" w:cstheme="minorHAnsi"/>
          <w:b/>
          <w:sz w:val="22"/>
          <w:szCs w:val="22"/>
        </w:rPr>
        <w:t>: ATTP Project Logic</w:t>
      </w:r>
      <w:bookmarkEnd w:id="7"/>
    </w:p>
    <w:p w14:paraId="6329211F" w14:textId="77777777" w:rsidR="00F70D41" w:rsidRPr="00F70D41" w:rsidRDefault="00F70D41" w:rsidP="00F70D4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The logical framework depicted in Figure 1 highlights the key components and their expected outcomes in establishing a sustainable platform that strengthens the capacity for effective policy research and policymaking, led by African Think Tanks, on cross-border priorities affecting Africa. The project’s interventions are structured across three main components, each with its assumptions and risks that can influence the achievement of the desired outcomes.</w:t>
      </w:r>
    </w:p>
    <w:p w14:paraId="3BE89D38" w14:textId="77777777" w:rsidR="00F70D41" w:rsidRPr="00F70D41" w:rsidRDefault="00F70D41" w:rsidP="00F70D4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 xml:space="preserve">As illustrated in Figure 1, implementing Component 1 interventions is expected </w:t>
      </w:r>
      <w:r w:rsidRPr="00F70D41">
        <w:rPr>
          <w:rFonts w:asciiTheme="minorHAnsi" w:hAnsiTheme="minorHAnsi" w:cstheme="minorHAnsi"/>
          <w:i/>
          <w:iCs/>
          <w:noProof/>
          <w:sz w:val="22"/>
          <w:szCs w:val="22"/>
          <w:lang w:val="en-MW"/>
        </w:rPr>
        <w:t>to establish and operationalize the TTP</w:t>
      </w:r>
      <w:r w:rsidRPr="00F70D41">
        <w:rPr>
          <w:rFonts w:asciiTheme="minorHAnsi" w:hAnsiTheme="minorHAnsi" w:cstheme="minorHAnsi"/>
          <w:noProof/>
          <w:sz w:val="22"/>
          <w:szCs w:val="22"/>
          <w:lang w:val="en-MW"/>
        </w:rPr>
        <w:t xml:space="preserve"> that frequently engages policymakers and Think Tanks on continental priority issues. This short-term outcome is anticipated to strengthen the organizational foundations of the AU institutions and member states, enabling them to coordinate and support the effective implementation of Agenda 2063. Secondly, implementing Component 2 interventions is expected </w:t>
      </w:r>
      <w:r w:rsidRPr="00F70D41">
        <w:rPr>
          <w:rFonts w:asciiTheme="minorHAnsi" w:hAnsiTheme="minorHAnsi" w:cstheme="minorHAnsi"/>
          <w:i/>
          <w:iCs/>
          <w:noProof/>
          <w:sz w:val="22"/>
          <w:szCs w:val="22"/>
          <w:lang w:val="en-MW"/>
        </w:rPr>
        <w:t>to improve the generation of policy-relevant research on cross-border priority issues</w:t>
      </w:r>
      <w:r w:rsidRPr="00F70D41">
        <w:rPr>
          <w:rFonts w:asciiTheme="minorHAnsi" w:hAnsiTheme="minorHAnsi" w:cstheme="minorHAnsi"/>
          <w:noProof/>
          <w:sz w:val="22"/>
          <w:szCs w:val="22"/>
          <w:lang w:val="en-MW"/>
        </w:rPr>
        <w:t xml:space="preserve"> by Think Tanks and increase the share of research </w:t>
      </w:r>
      <w:r w:rsidRPr="00F70D41">
        <w:rPr>
          <w:rFonts w:asciiTheme="minorHAnsi" w:hAnsiTheme="minorHAnsi" w:cstheme="minorHAnsi"/>
          <w:noProof/>
          <w:sz w:val="22"/>
          <w:szCs w:val="22"/>
          <w:lang w:val="en-MW"/>
        </w:rPr>
        <w:lastRenderedPageBreak/>
        <w:t xml:space="preserve">conducted by female researchers. Lastly, implementing Component 3 outcomes is expected </w:t>
      </w:r>
      <w:r w:rsidRPr="00F70D41">
        <w:rPr>
          <w:rFonts w:asciiTheme="minorHAnsi" w:hAnsiTheme="minorHAnsi" w:cstheme="minorHAnsi"/>
          <w:i/>
          <w:iCs/>
          <w:noProof/>
          <w:sz w:val="22"/>
          <w:szCs w:val="22"/>
          <w:lang w:val="en-MW"/>
        </w:rPr>
        <w:t>to lead to sustainable financing</w:t>
      </w:r>
      <w:r w:rsidRPr="00F70D41">
        <w:rPr>
          <w:rFonts w:asciiTheme="minorHAnsi" w:hAnsiTheme="minorHAnsi" w:cstheme="minorHAnsi"/>
          <w:noProof/>
          <w:sz w:val="22"/>
          <w:szCs w:val="22"/>
          <w:lang w:val="en-MW"/>
        </w:rPr>
        <w:t>, thereby increasing policy engagement activities undertaken by Think Tanks. These short-term outcomes are anticipated to contribute to the medium-term goals of improving development through better policymaking and implementation across Africa.</w:t>
      </w:r>
    </w:p>
    <w:p w14:paraId="52A228FE" w14:textId="77777777" w:rsidR="00BA627B" w:rsidRPr="00F70D41" w:rsidRDefault="00BA627B" w:rsidP="00237631">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The ATTP project logic is underpinned by assumptions and risks related to stakeholder engagement, resource availability, technical capacity, coordination, infrastructure, and political commitment. The project's ability to effectively manage these assumptions and mitigate the associated risks will be crucial in achieving the desired short-term, medium-term, and long-term outcomes.</w:t>
      </w:r>
    </w:p>
    <w:p w14:paraId="68B56F46" w14:textId="40CB555D" w:rsidR="003176F8" w:rsidRPr="00F70D41" w:rsidRDefault="00892F24" w:rsidP="005D5D6B">
      <w:pPr>
        <w:pStyle w:val="Heading2"/>
        <w:spacing w:before="100" w:beforeAutospacing="1" w:after="100" w:afterAutospacing="1"/>
        <w:rPr>
          <w:rFonts w:asciiTheme="minorHAnsi" w:eastAsiaTheme="majorEastAsia" w:hAnsiTheme="minorHAnsi" w:cstheme="minorHAnsi"/>
          <w:sz w:val="22"/>
          <w:szCs w:val="22"/>
        </w:rPr>
      </w:pPr>
      <w:r w:rsidRPr="00F70D41">
        <w:rPr>
          <w:rFonts w:asciiTheme="minorHAnsi" w:eastAsiaTheme="majorEastAsia" w:hAnsiTheme="minorHAnsi" w:cstheme="minorHAnsi"/>
          <w:sz w:val="22"/>
          <w:szCs w:val="22"/>
        </w:rPr>
        <w:t xml:space="preserve">Who Should Respond to the ATTP Call for Proposals? </w:t>
      </w:r>
    </w:p>
    <w:p w14:paraId="574AC5AF" w14:textId="178C9F1C" w:rsidR="00A164C4" w:rsidRPr="00F70D41" w:rsidRDefault="00382DB9" w:rsidP="00A164C4">
      <w:pPr>
        <w:spacing w:before="100" w:beforeAutospacing="1" w:after="100" w:afterAutospacing="1"/>
        <w:jc w:val="both"/>
        <w:rPr>
          <w:rFonts w:asciiTheme="minorHAnsi" w:hAnsiTheme="minorHAnsi" w:cstheme="minorHAnsi"/>
          <w:noProof/>
          <w:sz w:val="22"/>
          <w:szCs w:val="22"/>
          <w:lang w:val="en-MW"/>
        </w:rPr>
      </w:pPr>
      <w:r w:rsidRPr="00382DB9">
        <w:rPr>
          <w:rFonts w:asciiTheme="minorHAnsi" w:hAnsiTheme="minorHAnsi" w:cstheme="minorHAnsi"/>
          <w:noProof/>
          <w:sz w:val="22"/>
          <w:szCs w:val="22"/>
        </w:rPr>
        <w:t>To be eligible, Think Tanks must apply as a consortium comprised of 3-5 African Think Tanks, with one serving as the lead organization. Applications must include comprehensive activities covering at least four of the six priority themes and demonstrate a strong commitment to aligning with and contributing to regional integration priorities, such as addressing regional and cross-border issues, harmonizing research and policy efforts, and supporting regional cooperation. All applicants must be African Think Tanks with established organizations registered in one of the 55 African countries, and all required call for proposal documents must be submitted in English. Additionally, firms or individuals declared ineligible or sanctioned by the World Bank are excluded from participation.</w:t>
      </w:r>
      <w:r w:rsidR="00292EE3" w:rsidRPr="00292EE3">
        <w:rPr>
          <w:rFonts w:asciiTheme="minorHAnsi" w:hAnsiTheme="minorHAnsi" w:cstheme="minorHAnsi"/>
          <w:noProof/>
          <w:sz w:val="22"/>
          <w:szCs w:val="22"/>
          <w:lang w:val="en-MW"/>
        </w:rPr>
        <w:t xml:space="preserve"> </w:t>
      </w:r>
    </w:p>
    <w:p w14:paraId="15D20209" w14:textId="70154463" w:rsidR="00892F24" w:rsidRPr="00F70D41" w:rsidRDefault="0029259F" w:rsidP="005D5D6B">
      <w:pPr>
        <w:pStyle w:val="Heading2"/>
        <w:spacing w:before="100" w:beforeAutospacing="1" w:after="100" w:afterAutospacing="1"/>
        <w:rPr>
          <w:rFonts w:asciiTheme="minorHAnsi" w:eastAsiaTheme="majorEastAsia" w:hAnsiTheme="minorHAnsi" w:cstheme="minorHAnsi"/>
          <w:sz w:val="22"/>
          <w:szCs w:val="22"/>
        </w:rPr>
      </w:pPr>
      <w:r w:rsidRPr="00F70D41">
        <w:rPr>
          <w:rFonts w:asciiTheme="minorHAnsi" w:eastAsiaTheme="majorEastAsia" w:hAnsiTheme="minorHAnsi" w:cstheme="minorHAnsi"/>
          <w:sz w:val="22"/>
          <w:szCs w:val="22"/>
        </w:rPr>
        <w:t xml:space="preserve">The ATTP Call for Proposals Application Requirements </w:t>
      </w:r>
    </w:p>
    <w:p w14:paraId="58E0F1FE" w14:textId="03378703" w:rsidR="000C44D7" w:rsidRPr="00F70D41" w:rsidRDefault="000C44D7" w:rsidP="000C44D7">
      <w:pPr>
        <w:spacing w:before="100" w:beforeAutospacing="1" w:after="100" w:afterAutospacing="1"/>
        <w:jc w:val="both"/>
        <w:rPr>
          <w:rFonts w:asciiTheme="minorHAnsi" w:hAnsiTheme="minorHAnsi" w:cstheme="minorHAnsi"/>
          <w:noProof/>
          <w:sz w:val="22"/>
          <w:szCs w:val="22"/>
          <w:lang w:val="en-MW"/>
        </w:rPr>
      </w:pPr>
      <w:r w:rsidRPr="00F70D41">
        <w:rPr>
          <w:rFonts w:asciiTheme="minorHAnsi" w:hAnsiTheme="minorHAnsi" w:cstheme="minorHAnsi"/>
          <w:noProof/>
          <w:sz w:val="22"/>
          <w:szCs w:val="22"/>
          <w:lang w:val="en-MW"/>
        </w:rPr>
        <w:t xml:space="preserve">Interested Think Tanks are expected to submit the following information when submitting their proposal: a completed ATTP Call for Proposal Application Form, legal registration documents for each consortium member, and the </w:t>
      </w:r>
      <w:r w:rsidR="00E041CF" w:rsidRPr="00F70D41">
        <w:rPr>
          <w:rFonts w:asciiTheme="minorHAnsi" w:hAnsiTheme="minorHAnsi" w:cstheme="minorHAnsi"/>
          <w:noProof/>
          <w:sz w:val="22"/>
          <w:szCs w:val="22"/>
          <w:lang w:val="en-MW"/>
        </w:rPr>
        <w:t>formation documents for the board of trustees of</w:t>
      </w:r>
      <w:r w:rsidRPr="00F70D41">
        <w:rPr>
          <w:rFonts w:asciiTheme="minorHAnsi" w:hAnsiTheme="minorHAnsi" w:cstheme="minorHAnsi"/>
          <w:noProof/>
          <w:sz w:val="22"/>
          <w:szCs w:val="22"/>
          <w:lang w:val="en-MW"/>
        </w:rPr>
        <w:t xml:space="preserve"> each consortium member. They must also provide audited financial reports (up to three years) for each consortium member, along with a signed Commitment Letter from all consortium members and the lead organization confirming adherence to the consortium plan and commitment to ensuring participation and task execution according to the plan. Additionally, they need to include a detailed Project Work Plan and Budget, the Curriculum Vitae (CV) of the Consortium Coordinator and Deputy Consortium Coordinator, the CVs of the top two research experts from each think tank in the consortium, and documentation of past research and engagement experience.</w:t>
      </w:r>
    </w:p>
    <w:p w14:paraId="2EDEF8CE" w14:textId="3E91E51E" w:rsidR="006A417B" w:rsidRPr="00F70D41" w:rsidRDefault="00AE7198" w:rsidP="005D5D6B">
      <w:pPr>
        <w:pStyle w:val="Heading2"/>
        <w:spacing w:before="100" w:beforeAutospacing="1" w:after="100" w:afterAutospacing="1"/>
        <w:rPr>
          <w:rFonts w:asciiTheme="minorHAnsi" w:eastAsiaTheme="majorEastAsia" w:hAnsiTheme="minorHAnsi" w:cstheme="minorHAnsi"/>
          <w:sz w:val="22"/>
          <w:szCs w:val="22"/>
        </w:rPr>
      </w:pPr>
      <w:r w:rsidRPr="00F70D41">
        <w:rPr>
          <w:rFonts w:asciiTheme="minorHAnsi" w:eastAsiaTheme="majorEastAsia" w:hAnsiTheme="minorHAnsi" w:cstheme="minorHAnsi"/>
          <w:sz w:val="22"/>
          <w:szCs w:val="22"/>
        </w:rPr>
        <w:t xml:space="preserve">Submission Deadline </w:t>
      </w:r>
    </w:p>
    <w:p w14:paraId="339FDACB" w14:textId="739CAB08" w:rsidR="00AE7198" w:rsidRDefault="004F3B22" w:rsidP="00237631">
      <w:pPr>
        <w:spacing w:before="100" w:beforeAutospacing="1" w:after="100" w:afterAutospacing="1"/>
        <w:rPr>
          <w:rFonts w:asciiTheme="minorHAnsi" w:hAnsiTheme="minorHAnsi" w:cstheme="minorHAnsi"/>
          <w:sz w:val="22"/>
          <w:szCs w:val="22"/>
        </w:rPr>
      </w:pPr>
      <w:r w:rsidRPr="00F70D41">
        <w:rPr>
          <w:rFonts w:asciiTheme="minorHAnsi" w:hAnsiTheme="minorHAnsi" w:cstheme="minorHAnsi"/>
          <w:sz w:val="22"/>
          <w:szCs w:val="22"/>
        </w:rPr>
        <w:t xml:space="preserve">The ATTP Call for Proposals will be released on </w:t>
      </w:r>
      <w:r w:rsidRPr="00D86CD1">
        <w:rPr>
          <w:rFonts w:asciiTheme="minorHAnsi" w:hAnsiTheme="minorHAnsi" w:cstheme="minorHAnsi"/>
          <w:b/>
          <w:bCs w:val="0"/>
          <w:sz w:val="22"/>
          <w:szCs w:val="22"/>
          <w:highlight w:val="yellow"/>
        </w:rPr>
        <w:t xml:space="preserve">Monday, </w:t>
      </w:r>
      <w:r w:rsidR="00D86CD1" w:rsidRPr="00D86CD1">
        <w:rPr>
          <w:rFonts w:asciiTheme="minorHAnsi" w:hAnsiTheme="minorHAnsi" w:cstheme="minorHAnsi"/>
          <w:b/>
          <w:bCs w:val="0"/>
          <w:sz w:val="22"/>
          <w:szCs w:val="22"/>
          <w:highlight w:val="yellow"/>
        </w:rPr>
        <w:t>30</w:t>
      </w:r>
      <w:r w:rsidRPr="00D86CD1">
        <w:rPr>
          <w:rFonts w:asciiTheme="minorHAnsi" w:hAnsiTheme="minorHAnsi" w:cstheme="minorHAnsi"/>
          <w:b/>
          <w:bCs w:val="0"/>
          <w:sz w:val="22"/>
          <w:szCs w:val="22"/>
          <w:highlight w:val="yellow"/>
        </w:rPr>
        <w:t xml:space="preserve"> June 2025</w:t>
      </w:r>
      <w:r w:rsidRPr="00F70D41">
        <w:rPr>
          <w:rFonts w:asciiTheme="minorHAnsi" w:hAnsiTheme="minorHAnsi" w:cstheme="minorHAnsi"/>
          <w:sz w:val="22"/>
          <w:szCs w:val="22"/>
        </w:rPr>
        <w:t xml:space="preserve">, </w:t>
      </w:r>
      <w:r w:rsidR="005D5D6B" w:rsidRPr="00F70D41">
        <w:rPr>
          <w:rFonts w:asciiTheme="minorHAnsi" w:hAnsiTheme="minorHAnsi" w:cstheme="minorHAnsi"/>
          <w:sz w:val="22"/>
          <w:szCs w:val="22"/>
        </w:rPr>
        <w:t>with a submission deadline of</w:t>
      </w:r>
      <w:r w:rsidRPr="00F70D41">
        <w:rPr>
          <w:rFonts w:asciiTheme="minorHAnsi" w:hAnsiTheme="minorHAnsi" w:cstheme="minorHAnsi"/>
          <w:sz w:val="22"/>
          <w:szCs w:val="22"/>
        </w:rPr>
        <w:t xml:space="preserve"> </w:t>
      </w:r>
      <w:r w:rsidRPr="00D86CD1">
        <w:rPr>
          <w:rFonts w:asciiTheme="minorHAnsi" w:hAnsiTheme="minorHAnsi" w:cstheme="minorHAnsi"/>
          <w:b/>
          <w:bCs w:val="0"/>
          <w:sz w:val="22"/>
          <w:szCs w:val="22"/>
          <w:highlight w:val="yellow"/>
        </w:rPr>
        <w:t>Friday, 22 August 2025</w:t>
      </w:r>
      <w:r w:rsidRPr="00F70D41">
        <w:rPr>
          <w:rFonts w:asciiTheme="minorHAnsi" w:hAnsiTheme="minorHAnsi" w:cstheme="minorHAnsi"/>
          <w:sz w:val="22"/>
          <w:szCs w:val="22"/>
        </w:rPr>
        <w:t>.</w:t>
      </w:r>
      <w:r w:rsidR="008F4088">
        <w:rPr>
          <w:rFonts w:asciiTheme="minorHAnsi" w:hAnsiTheme="minorHAnsi" w:cstheme="minorHAnsi"/>
          <w:sz w:val="22"/>
          <w:szCs w:val="22"/>
        </w:rPr>
        <w:t xml:space="preserve"> </w:t>
      </w:r>
    </w:p>
    <w:p w14:paraId="7BF81905" w14:textId="51E97C99" w:rsidR="00DB3EC8" w:rsidRDefault="00DB3EC8" w:rsidP="00237631">
      <w:pPr>
        <w:spacing w:before="100" w:beforeAutospacing="1" w:after="100" w:afterAutospacing="1"/>
        <w:rPr>
          <w:rFonts w:asciiTheme="minorHAnsi" w:hAnsiTheme="minorHAnsi" w:cstheme="minorHAnsi"/>
          <w:sz w:val="22"/>
          <w:szCs w:val="22"/>
        </w:rPr>
      </w:pPr>
      <w:r>
        <w:rPr>
          <w:rFonts w:asciiTheme="minorHAnsi" w:hAnsiTheme="minorHAnsi" w:cstheme="minorHAnsi"/>
          <w:sz w:val="22"/>
          <w:szCs w:val="22"/>
        </w:rPr>
        <w:t xml:space="preserve">Interested Think Tanks are requested to download the </w:t>
      </w:r>
      <w:r w:rsidR="00161CCE">
        <w:rPr>
          <w:rFonts w:asciiTheme="minorHAnsi" w:hAnsiTheme="minorHAnsi" w:cstheme="minorHAnsi"/>
          <w:sz w:val="22"/>
          <w:szCs w:val="22"/>
        </w:rPr>
        <w:t xml:space="preserve">call for proposal forms using this link: </w:t>
      </w:r>
      <w:r w:rsidR="00AE1CAD">
        <w:rPr>
          <w:rFonts w:asciiTheme="minorHAnsi" w:hAnsiTheme="minorHAnsi" w:cstheme="minorHAnsi"/>
          <w:sz w:val="22"/>
          <w:szCs w:val="22"/>
        </w:rPr>
        <w:t>[</w:t>
      </w:r>
      <w:r w:rsidR="00AE1CAD" w:rsidRPr="00592536">
        <w:rPr>
          <w:rFonts w:asciiTheme="minorHAnsi" w:hAnsiTheme="minorHAnsi" w:cstheme="minorHAnsi"/>
          <w:sz w:val="22"/>
          <w:szCs w:val="22"/>
          <w:highlight w:val="yellow"/>
        </w:rPr>
        <w:t>link</w:t>
      </w:r>
      <w:r w:rsidR="00AE1CAD">
        <w:rPr>
          <w:rFonts w:asciiTheme="minorHAnsi" w:hAnsiTheme="minorHAnsi" w:cstheme="minorHAnsi"/>
          <w:sz w:val="22"/>
          <w:szCs w:val="22"/>
        </w:rPr>
        <w:t>]</w:t>
      </w:r>
    </w:p>
    <w:p w14:paraId="1CD31940" w14:textId="5758FBDA" w:rsidR="00161CCE" w:rsidRPr="00F70D41" w:rsidRDefault="00F9040A" w:rsidP="00237631">
      <w:pPr>
        <w:spacing w:before="100" w:beforeAutospacing="1" w:after="100" w:afterAutospacing="1"/>
        <w:rPr>
          <w:rFonts w:asciiTheme="minorHAnsi" w:hAnsiTheme="minorHAnsi" w:cstheme="minorHAnsi"/>
          <w:sz w:val="22"/>
          <w:szCs w:val="22"/>
          <w:lang w:val="en-MW"/>
        </w:rPr>
      </w:pPr>
      <w:r>
        <w:rPr>
          <w:rFonts w:asciiTheme="minorHAnsi" w:hAnsiTheme="minorHAnsi" w:cstheme="minorHAnsi"/>
          <w:sz w:val="22"/>
          <w:szCs w:val="22"/>
        </w:rPr>
        <w:t xml:space="preserve">The consortia of Think Tanks can submit their proposal using this link: </w:t>
      </w:r>
      <w:r w:rsidR="00AE1CAD">
        <w:rPr>
          <w:rFonts w:asciiTheme="minorHAnsi" w:hAnsiTheme="minorHAnsi" w:cstheme="minorHAnsi"/>
          <w:sz w:val="22"/>
          <w:szCs w:val="22"/>
        </w:rPr>
        <w:t>[</w:t>
      </w:r>
      <w:r w:rsidR="00AE1CAD" w:rsidRPr="00592536">
        <w:rPr>
          <w:rFonts w:asciiTheme="minorHAnsi" w:hAnsiTheme="minorHAnsi" w:cstheme="minorHAnsi"/>
          <w:sz w:val="22"/>
          <w:szCs w:val="22"/>
          <w:highlight w:val="yellow"/>
        </w:rPr>
        <w:t>link</w:t>
      </w:r>
      <w:r w:rsidR="00AE1CAD">
        <w:rPr>
          <w:rFonts w:asciiTheme="minorHAnsi" w:hAnsiTheme="minorHAnsi" w:cstheme="minorHAnsi"/>
          <w:sz w:val="22"/>
          <w:szCs w:val="22"/>
        </w:rPr>
        <w:t>]</w:t>
      </w:r>
    </w:p>
    <w:p w14:paraId="15A228CB" w14:textId="2DB09DC7" w:rsidR="00AE7198" w:rsidRPr="00F70D41" w:rsidRDefault="00AE7198" w:rsidP="005D5D6B">
      <w:pPr>
        <w:pStyle w:val="Heading2"/>
        <w:spacing w:before="100" w:beforeAutospacing="1" w:after="100" w:afterAutospacing="1"/>
        <w:rPr>
          <w:rFonts w:asciiTheme="minorHAnsi" w:eastAsiaTheme="majorEastAsia" w:hAnsiTheme="minorHAnsi" w:cstheme="minorHAnsi"/>
          <w:sz w:val="22"/>
          <w:szCs w:val="22"/>
        </w:rPr>
      </w:pPr>
      <w:r w:rsidRPr="00F70D41">
        <w:rPr>
          <w:rFonts w:asciiTheme="minorHAnsi" w:eastAsiaTheme="majorEastAsia" w:hAnsiTheme="minorHAnsi" w:cstheme="minorHAnsi"/>
          <w:sz w:val="22"/>
          <w:szCs w:val="22"/>
        </w:rPr>
        <w:t xml:space="preserve">Contact Information </w:t>
      </w:r>
    </w:p>
    <w:p w14:paraId="33B92825" w14:textId="0D20132E" w:rsidR="00B73178" w:rsidRPr="00F70D41" w:rsidRDefault="004F3B22" w:rsidP="004F3B22">
      <w:pPr>
        <w:spacing w:before="100" w:beforeAutospacing="1" w:after="100" w:afterAutospacing="1"/>
        <w:rPr>
          <w:rFonts w:asciiTheme="minorHAnsi" w:hAnsiTheme="minorHAnsi" w:cstheme="minorHAnsi"/>
          <w:sz w:val="22"/>
          <w:szCs w:val="22"/>
        </w:rPr>
      </w:pPr>
      <w:r w:rsidRPr="00F70D41">
        <w:rPr>
          <w:rFonts w:asciiTheme="minorHAnsi" w:hAnsiTheme="minorHAnsi" w:cstheme="minorHAnsi"/>
          <w:sz w:val="22"/>
          <w:szCs w:val="22"/>
        </w:rPr>
        <w:t xml:space="preserve">For more details </w:t>
      </w:r>
      <w:r w:rsidR="00355F6E" w:rsidRPr="00F70D41">
        <w:rPr>
          <w:rFonts w:asciiTheme="minorHAnsi" w:hAnsiTheme="minorHAnsi" w:cstheme="minorHAnsi"/>
          <w:sz w:val="22"/>
          <w:szCs w:val="22"/>
        </w:rPr>
        <w:t xml:space="preserve">on the call for proposals, please contact: </w:t>
      </w:r>
    </w:p>
    <w:p w14:paraId="6A07EE30" w14:textId="021EA019" w:rsidR="00237631" w:rsidRPr="00237631" w:rsidRDefault="003F0871" w:rsidP="00A42C4A">
      <w:pPr>
        <w:rPr>
          <w:rFonts w:asciiTheme="minorHAnsi" w:hAnsiTheme="minorHAnsi" w:cstheme="minorHAnsi"/>
          <w:sz w:val="22"/>
          <w:szCs w:val="22"/>
          <w:lang w:val="en-MW"/>
        </w:rPr>
      </w:pPr>
      <w:r w:rsidRPr="00F70D41">
        <w:rPr>
          <w:rFonts w:asciiTheme="minorHAnsi" w:hAnsiTheme="minorHAnsi" w:cstheme="minorHAnsi"/>
          <w:sz w:val="22"/>
          <w:szCs w:val="22"/>
        </w:rPr>
        <w:t xml:space="preserve">Dr. Themba Chirwa, </w:t>
      </w:r>
      <w:r w:rsidR="00237631" w:rsidRPr="00237631">
        <w:rPr>
          <w:rFonts w:asciiTheme="minorHAnsi" w:hAnsiTheme="minorHAnsi" w:cstheme="minorHAnsi"/>
          <w:sz w:val="22"/>
          <w:szCs w:val="22"/>
        </w:rPr>
        <w:t>Project Coordinator, Africa Think Tank Platform (ATTP) Project</w:t>
      </w:r>
    </w:p>
    <w:p w14:paraId="021DAFF1" w14:textId="77777777" w:rsidR="00355F6E" w:rsidRPr="00F70D41" w:rsidRDefault="00237631" w:rsidP="00A42C4A">
      <w:pPr>
        <w:rPr>
          <w:rFonts w:asciiTheme="minorHAnsi" w:hAnsiTheme="minorHAnsi" w:cstheme="minorHAnsi"/>
          <w:sz w:val="22"/>
          <w:szCs w:val="22"/>
        </w:rPr>
      </w:pPr>
      <w:r w:rsidRPr="00237631">
        <w:rPr>
          <w:rFonts w:asciiTheme="minorHAnsi" w:hAnsiTheme="minorHAnsi" w:cstheme="minorHAnsi"/>
          <w:sz w:val="22"/>
          <w:szCs w:val="22"/>
        </w:rPr>
        <w:t xml:space="preserve">Partnerships Management and Resource Mobilization Directorate, </w:t>
      </w:r>
    </w:p>
    <w:p w14:paraId="4D49A265" w14:textId="228C797F" w:rsidR="00237631" w:rsidRPr="00237631" w:rsidRDefault="00237631" w:rsidP="00A42C4A">
      <w:pPr>
        <w:rPr>
          <w:rFonts w:asciiTheme="minorHAnsi" w:hAnsiTheme="minorHAnsi" w:cstheme="minorHAnsi"/>
          <w:sz w:val="22"/>
          <w:szCs w:val="22"/>
          <w:lang w:val="en-MW"/>
        </w:rPr>
      </w:pPr>
      <w:r w:rsidRPr="00237631">
        <w:rPr>
          <w:rFonts w:asciiTheme="minorHAnsi" w:hAnsiTheme="minorHAnsi" w:cstheme="minorHAnsi"/>
          <w:sz w:val="22"/>
          <w:szCs w:val="22"/>
        </w:rPr>
        <w:t xml:space="preserve">African Union Headquarters, Roosevelt Street, W21K19, PO Box 3243, </w:t>
      </w:r>
    </w:p>
    <w:p w14:paraId="1CE7D94E" w14:textId="77777777" w:rsidR="00237631" w:rsidRPr="00237631" w:rsidRDefault="00237631" w:rsidP="00A42C4A">
      <w:pPr>
        <w:rPr>
          <w:rFonts w:asciiTheme="minorHAnsi" w:hAnsiTheme="minorHAnsi" w:cstheme="minorHAnsi"/>
          <w:sz w:val="22"/>
          <w:szCs w:val="22"/>
          <w:lang w:val="en-MW"/>
        </w:rPr>
      </w:pPr>
      <w:r w:rsidRPr="00237631">
        <w:rPr>
          <w:rFonts w:asciiTheme="minorHAnsi" w:hAnsiTheme="minorHAnsi" w:cstheme="minorHAnsi"/>
          <w:sz w:val="22"/>
          <w:szCs w:val="22"/>
        </w:rPr>
        <w:t>Addis Ababa, Ethiopia</w:t>
      </w:r>
    </w:p>
    <w:p w14:paraId="3BEDC0FD" w14:textId="7F442C55" w:rsidR="00735310" w:rsidRPr="00F70D41" w:rsidRDefault="00237631" w:rsidP="00A42C4A">
      <w:pPr>
        <w:rPr>
          <w:rFonts w:asciiTheme="minorHAnsi" w:hAnsiTheme="minorHAnsi" w:cstheme="minorHAnsi"/>
          <w:sz w:val="22"/>
          <w:szCs w:val="22"/>
          <w:u w:val="single"/>
        </w:rPr>
      </w:pPr>
      <w:r w:rsidRPr="00237631">
        <w:rPr>
          <w:rFonts w:asciiTheme="minorHAnsi" w:hAnsiTheme="minorHAnsi" w:cstheme="minorHAnsi"/>
          <w:sz w:val="22"/>
          <w:szCs w:val="22"/>
        </w:rPr>
        <w:t xml:space="preserve">Email: </w:t>
      </w:r>
      <w:hyperlink r:id="rId18" w:history="1">
        <w:r w:rsidR="00CC1368" w:rsidRPr="00682A8E">
          <w:rPr>
            <w:rStyle w:val="Hyperlink"/>
            <w:rFonts w:asciiTheme="minorHAnsi" w:hAnsiTheme="minorHAnsi" w:cstheme="minorHAnsi"/>
            <w:sz w:val="22"/>
            <w:szCs w:val="22"/>
          </w:rPr>
          <w:t>attpinfo@africanunion.org</w:t>
        </w:r>
      </w:hyperlink>
    </w:p>
    <w:p w14:paraId="570CD00C" w14:textId="77777777" w:rsidR="00735310" w:rsidRDefault="00735310" w:rsidP="00A42C4A">
      <w:pPr>
        <w:rPr>
          <w:rFonts w:asciiTheme="minorHAnsi" w:hAnsiTheme="minorHAnsi" w:cstheme="minorHAnsi"/>
          <w:u w:val="single"/>
        </w:rPr>
      </w:pPr>
    </w:p>
    <w:p w14:paraId="27823F29" w14:textId="2B117045" w:rsidR="00CC732B" w:rsidRPr="00DB1A1C" w:rsidRDefault="00237631" w:rsidP="00A42C4A">
      <w:pPr>
        <w:rPr>
          <w:rFonts w:asciiTheme="minorHAnsi" w:hAnsiTheme="minorHAnsi" w:cstheme="minorHAnsi"/>
          <w:lang w:val="en-MW"/>
        </w:rPr>
      </w:pPr>
      <w:r w:rsidRPr="00237631">
        <w:rPr>
          <w:rFonts w:asciiTheme="minorHAnsi" w:hAnsiTheme="minorHAnsi" w:cstheme="minorHAnsi"/>
        </w:rPr>
        <w:t xml:space="preserve"> </w:t>
      </w:r>
    </w:p>
    <w:sectPr w:rsidR="00CC732B" w:rsidRPr="00DB1A1C" w:rsidSect="00F751BE">
      <w:headerReference w:type="first" r:id="rId19"/>
      <w:footerReference w:type="first" r:id="rId20"/>
      <w:pgSz w:w="11909" w:h="16834" w:code="9"/>
      <w:pgMar w:top="755" w:right="1264" w:bottom="1111" w:left="1195"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37A865" w14:textId="77777777" w:rsidR="00FD5E63" w:rsidRDefault="00FD5E63">
      <w:r>
        <w:separator/>
      </w:r>
    </w:p>
  </w:endnote>
  <w:endnote w:type="continuationSeparator" w:id="0">
    <w:p w14:paraId="06907791" w14:textId="77777777" w:rsidR="00FD5E63" w:rsidRDefault="00FD5E63">
      <w:r>
        <w:continuationSeparator/>
      </w:r>
    </w:p>
  </w:endnote>
  <w:endnote w:type="continuationNotice" w:id="1">
    <w:p w14:paraId="291D46C4" w14:textId="77777777" w:rsidR="00FD5E63" w:rsidRDefault="00FD5E6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51963021"/>
      <w:docPartObj>
        <w:docPartGallery w:val="Page Numbers (Bottom of Page)"/>
        <w:docPartUnique/>
      </w:docPartObj>
    </w:sdtPr>
    <w:sdtEndPr>
      <w:rPr>
        <w:rStyle w:val="PageNumber"/>
      </w:rPr>
    </w:sdtEndPr>
    <w:sdtContent>
      <w:p w14:paraId="2C13BBC7" w14:textId="7E5CD367" w:rsidR="00F4350F" w:rsidRDefault="00F4350F" w:rsidP="00025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D81111" w14:textId="77777777" w:rsidR="00F4350F" w:rsidRDefault="00F4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28480476"/>
      <w:docPartObj>
        <w:docPartGallery w:val="Page Numbers (Bottom of Page)"/>
        <w:docPartUnique/>
      </w:docPartObj>
    </w:sdtPr>
    <w:sdtEndPr>
      <w:rPr>
        <w:rStyle w:val="PageNumber"/>
      </w:rPr>
    </w:sdtEndPr>
    <w:sdtContent>
      <w:p w14:paraId="70A1B138" w14:textId="30D51215" w:rsidR="00F4350F" w:rsidRDefault="00F4350F" w:rsidP="00025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F343352" w14:textId="77777777" w:rsidR="00F4350F" w:rsidRDefault="00F43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75629" w14:textId="696E9EF1" w:rsidR="0000078F" w:rsidRDefault="0000078F">
    <w:pPr>
      <w:pStyle w:val="Footer"/>
      <w:jc w:val="center"/>
    </w:pPr>
  </w:p>
  <w:p w14:paraId="3EB8F18C" w14:textId="77777777" w:rsidR="0000078F" w:rsidRDefault="000007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063158"/>
      <w:docPartObj>
        <w:docPartGallery w:val="Page Numbers (Bottom of Page)"/>
        <w:docPartUnique/>
      </w:docPartObj>
    </w:sdtPr>
    <w:sdtEndPr>
      <w:rPr>
        <w:noProof/>
      </w:rPr>
    </w:sdtEndPr>
    <w:sdtContent>
      <w:p w14:paraId="717A33AA" w14:textId="77777777" w:rsidR="00F751BE" w:rsidRDefault="00F751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1CE635" w14:textId="77777777" w:rsidR="00F751BE" w:rsidRDefault="00F75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B4BC66" w14:textId="77777777" w:rsidR="00FD5E63" w:rsidRDefault="00FD5E63">
      <w:r>
        <w:separator/>
      </w:r>
    </w:p>
  </w:footnote>
  <w:footnote w:type="continuationSeparator" w:id="0">
    <w:p w14:paraId="0CCB7406" w14:textId="77777777" w:rsidR="00FD5E63" w:rsidRDefault="00FD5E63">
      <w:r>
        <w:continuationSeparator/>
      </w:r>
    </w:p>
  </w:footnote>
  <w:footnote w:type="continuationNotice" w:id="1">
    <w:p w14:paraId="4353837E" w14:textId="77777777" w:rsidR="00FD5E63" w:rsidRDefault="00FD5E6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9402" w14:textId="77777777" w:rsidR="00654A03" w:rsidRDefault="00654A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B7DBF5" w14:textId="77777777" w:rsidR="00654A03" w:rsidRDefault="00654A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1D0A" w14:textId="2299CA84" w:rsidR="00654A03" w:rsidRDefault="00654A03">
    <w:pPr>
      <w:pStyle w:val="Header"/>
      <w:framePr w:wrap="around" w:vAnchor="text" w:hAnchor="margin" w:xAlign="center" w:y="1"/>
      <w:rPr>
        <w:rStyle w:val="PageNumber"/>
      </w:rPr>
    </w:pPr>
  </w:p>
  <w:p w14:paraId="596800E4" w14:textId="77777777" w:rsidR="00654A03" w:rsidRDefault="00654A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F6F2D" w14:textId="77777777" w:rsidR="00F751BE" w:rsidRDefault="00F75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DA44798"/>
    <w:multiLevelType w:val="hybridMultilevel"/>
    <w:tmpl w:val="2A9ABF52"/>
    <w:lvl w:ilvl="0" w:tplc="2326CBC8">
      <w:start w:val="1"/>
      <w:numFmt w:val="upperRoman"/>
      <w:pStyle w:val="Heading2"/>
      <w:lvlText w:val="%1."/>
      <w:lvlJc w:val="left"/>
      <w:pPr>
        <w:tabs>
          <w:tab w:val="num" w:pos="360"/>
        </w:tabs>
        <w:ind w:left="360" w:hanging="360"/>
      </w:pPr>
      <w:rPr>
        <w:rFonts w:hint="default"/>
      </w:rPr>
    </w:lvl>
    <w:lvl w:ilvl="1" w:tplc="7E70F3DA">
      <w:start w:val="1"/>
      <w:numFmt w:val="decimal"/>
      <w:lvlText w:val="%2."/>
      <w:lvlJc w:val="left"/>
      <w:pPr>
        <w:tabs>
          <w:tab w:val="num" w:pos="864"/>
        </w:tabs>
        <w:ind w:left="864" w:hanging="360"/>
      </w:pPr>
      <w:rPr>
        <w:rFonts w:hint="default"/>
      </w:rPr>
    </w:lvl>
    <w:lvl w:ilvl="2" w:tplc="0409001B" w:tentative="1">
      <w:start w:val="1"/>
      <w:numFmt w:val="lowerRoman"/>
      <w:lvlText w:val="%3."/>
      <w:lvlJc w:val="right"/>
      <w:pPr>
        <w:tabs>
          <w:tab w:val="num" w:pos="1584"/>
        </w:tabs>
        <w:ind w:left="1584" w:hanging="180"/>
      </w:pPr>
    </w:lvl>
    <w:lvl w:ilvl="3" w:tplc="0409000F" w:tentative="1">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1" w15:restartNumberingAfterBreak="0">
    <w:nsid w:val="282C4834"/>
    <w:multiLevelType w:val="multilevel"/>
    <w:tmpl w:val="9ED4BD5C"/>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1170" w:hanging="117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num w:numId="1" w16cid:durableId="886602167">
    <w:abstractNumId w:val="0"/>
  </w:num>
  <w:num w:numId="2" w16cid:durableId="830222153">
    <w:abstractNumId w:val="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F"/>
    <w:rsid w:val="0000078F"/>
    <w:rsid w:val="00010C03"/>
    <w:rsid w:val="00021919"/>
    <w:rsid w:val="00027C86"/>
    <w:rsid w:val="0003097E"/>
    <w:rsid w:val="00032750"/>
    <w:rsid w:val="00044B22"/>
    <w:rsid w:val="00045584"/>
    <w:rsid w:val="00052602"/>
    <w:rsid w:val="000542F5"/>
    <w:rsid w:val="00056184"/>
    <w:rsid w:val="0005693E"/>
    <w:rsid w:val="000634D0"/>
    <w:rsid w:val="00065406"/>
    <w:rsid w:val="000711AC"/>
    <w:rsid w:val="0008264F"/>
    <w:rsid w:val="00083FCA"/>
    <w:rsid w:val="00087CE8"/>
    <w:rsid w:val="000902E3"/>
    <w:rsid w:val="00097CDB"/>
    <w:rsid w:val="000A46AC"/>
    <w:rsid w:val="000A5D82"/>
    <w:rsid w:val="000B2C8A"/>
    <w:rsid w:val="000B40FB"/>
    <w:rsid w:val="000C1CC5"/>
    <w:rsid w:val="000C44D7"/>
    <w:rsid w:val="000C7B8C"/>
    <w:rsid w:val="000D058E"/>
    <w:rsid w:val="000D3BA0"/>
    <w:rsid w:val="000D646D"/>
    <w:rsid w:val="000E1DB0"/>
    <w:rsid w:val="000E5D73"/>
    <w:rsid w:val="000E69C7"/>
    <w:rsid w:val="000F07A2"/>
    <w:rsid w:val="000F204D"/>
    <w:rsid w:val="000F62B4"/>
    <w:rsid w:val="00100AA3"/>
    <w:rsid w:val="00113925"/>
    <w:rsid w:val="00117857"/>
    <w:rsid w:val="00121E6F"/>
    <w:rsid w:val="00126B30"/>
    <w:rsid w:val="00130305"/>
    <w:rsid w:val="00135861"/>
    <w:rsid w:val="0013797E"/>
    <w:rsid w:val="00137E0C"/>
    <w:rsid w:val="00141B35"/>
    <w:rsid w:val="001551E2"/>
    <w:rsid w:val="00156A0A"/>
    <w:rsid w:val="001602B9"/>
    <w:rsid w:val="00161CCE"/>
    <w:rsid w:val="00163D43"/>
    <w:rsid w:val="00171416"/>
    <w:rsid w:val="00172ACA"/>
    <w:rsid w:val="00180BCD"/>
    <w:rsid w:val="00191E58"/>
    <w:rsid w:val="001A0D0B"/>
    <w:rsid w:val="001A3EC3"/>
    <w:rsid w:val="001B3434"/>
    <w:rsid w:val="001B72F1"/>
    <w:rsid w:val="001C6FB2"/>
    <w:rsid w:val="001D5C68"/>
    <w:rsid w:val="001E7EC9"/>
    <w:rsid w:val="001F232D"/>
    <w:rsid w:val="00207EC7"/>
    <w:rsid w:val="0021441E"/>
    <w:rsid w:val="00215FD5"/>
    <w:rsid w:val="00217612"/>
    <w:rsid w:val="00220B33"/>
    <w:rsid w:val="00237631"/>
    <w:rsid w:val="0025591A"/>
    <w:rsid w:val="002617E7"/>
    <w:rsid w:val="002627F5"/>
    <w:rsid w:val="00265336"/>
    <w:rsid w:val="00265986"/>
    <w:rsid w:val="00265D15"/>
    <w:rsid w:val="00271972"/>
    <w:rsid w:val="00272A9D"/>
    <w:rsid w:val="002736C9"/>
    <w:rsid w:val="00273B93"/>
    <w:rsid w:val="00274B17"/>
    <w:rsid w:val="00275630"/>
    <w:rsid w:val="00280FFF"/>
    <w:rsid w:val="00282023"/>
    <w:rsid w:val="0028315F"/>
    <w:rsid w:val="00286A8A"/>
    <w:rsid w:val="0029259F"/>
    <w:rsid w:val="00292EE3"/>
    <w:rsid w:val="0029417D"/>
    <w:rsid w:val="002A0F85"/>
    <w:rsid w:val="002C10CA"/>
    <w:rsid w:val="002C409D"/>
    <w:rsid w:val="002C6EC6"/>
    <w:rsid w:val="002D0AAE"/>
    <w:rsid w:val="002D4587"/>
    <w:rsid w:val="002D55CD"/>
    <w:rsid w:val="002D6BAD"/>
    <w:rsid w:val="002E7A7C"/>
    <w:rsid w:val="002F483C"/>
    <w:rsid w:val="002F5DE4"/>
    <w:rsid w:val="00302BA7"/>
    <w:rsid w:val="00306FF3"/>
    <w:rsid w:val="003076E4"/>
    <w:rsid w:val="00314FCF"/>
    <w:rsid w:val="003176F8"/>
    <w:rsid w:val="0032017E"/>
    <w:rsid w:val="003213CD"/>
    <w:rsid w:val="003229DC"/>
    <w:rsid w:val="0032434F"/>
    <w:rsid w:val="00327E14"/>
    <w:rsid w:val="00334A9E"/>
    <w:rsid w:val="003355C9"/>
    <w:rsid w:val="00335B83"/>
    <w:rsid w:val="00346DD1"/>
    <w:rsid w:val="003516CD"/>
    <w:rsid w:val="00354512"/>
    <w:rsid w:val="00355F6E"/>
    <w:rsid w:val="00356483"/>
    <w:rsid w:val="00360C62"/>
    <w:rsid w:val="00361D91"/>
    <w:rsid w:val="0036612B"/>
    <w:rsid w:val="00366FBD"/>
    <w:rsid w:val="00371F3B"/>
    <w:rsid w:val="003808F4"/>
    <w:rsid w:val="00382DB9"/>
    <w:rsid w:val="00384E9B"/>
    <w:rsid w:val="00395A92"/>
    <w:rsid w:val="00397D61"/>
    <w:rsid w:val="003A36C7"/>
    <w:rsid w:val="003A56C5"/>
    <w:rsid w:val="003A7088"/>
    <w:rsid w:val="003A7761"/>
    <w:rsid w:val="003B06B1"/>
    <w:rsid w:val="003B5549"/>
    <w:rsid w:val="003C6F8F"/>
    <w:rsid w:val="003D19C7"/>
    <w:rsid w:val="003E0B82"/>
    <w:rsid w:val="003E2FB0"/>
    <w:rsid w:val="003E5706"/>
    <w:rsid w:val="003F0871"/>
    <w:rsid w:val="003F2DEF"/>
    <w:rsid w:val="003F5285"/>
    <w:rsid w:val="003F6816"/>
    <w:rsid w:val="00400C33"/>
    <w:rsid w:val="0040226F"/>
    <w:rsid w:val="00403077"/>
    <w:rsid w:val="00406F40"/>
    <w:rsid w:val="00407137"/>
    <w:rsid w:val="004164F0"/>
    <w:rsid w:val="00424026"/>
    <w:rsid w:val="0042631A"/>
    <w:rsid w:val="0042711A"/>
    <w:rsid w:val="00431A91"/>
    <w:rsid w:val="00432CE5"/>
    <w:rsid w:val="00434E5E"/>
    <w:rsid w:val="004372C7"/>
    <w:rsid w:val="004424F7"/>
    <w:rsid w:val="00444D56"/>
    <w:rsid w:val="004620FD"/>
    <w:rsid w:val="004621D3"/>
    <w:rsid w:val="00463A0D"/>
    <w:rsid w:val="00476941"/>
    <w:rsid w:val="00477530"/>
    <w:rsid w:val="004776CA"/>
    <w:rsid w:val="0048352D"/>
    <w:rsid w:val="00484745"/>
    <w:rsid w:val="00485D24"/>
    <w:rsid w:val="00493134"/>
    <w:rsid w:val="00493886"/>
    <w:rsid w:val="00494900"/>
    <w:rsid w:val="004A3B13"/>
    <w:rsid w:val="004A638A"/>
    <w:rsid w:val="004B1051"/>
    <w:rsid w:val="004B4E20"/>
    <w:rsid w:val="004B4E71"/>
    <w:rsid w:val="004B5269"/>
    <w:rsid w:val="004B74EE"/>
    <w:rsid w:val="004C71D2"/>
    <w:rsid w:val="004D0463"/>
    <w:rsid w:val="004D3931"/>
    <w:rsid w:val="004E5144"/>
    <w:rsid w:val="004E5F27"/>
    <w:rsid w:val="004E6EA5"/>
    <w:rsid w:val="004F3B22"/>
    <w:rsid w:val="004F408C"/>
    <w:rsid w:val="00501730"/>
    <w:rsid w:val="005022A4"/>
    <w:rsid w:val="005031FE"/>
    <w:rsid w:val="005137F0"/>
    <w:rsid w:val="0051564E"/>
    <w:rsid w:val="005208D5"/>
    <w:rsid w:val="0054132F"/>
    <w:rsid w:val="00545608"/>
    <w:rsid w:val="00551759"/>
    <w:rsid w:val="00552D56"/>
    <w:rsid w:val="00552DBC"/>
    <w:rsid w:val="00554C0E"/>
    <w:rsid w:val="00556FC0"/>
    <w:rsid w:val="00557BE7"/>
    <w:rsid w:val="005625FE"/>
    <w:rsid w:val="00563C20"/>
    <w:rsid w:val="005653AF"/>
    <w:rsid w:val="00565791"/>
    <w:rsid w:val="005675DA"/>
    <w:rsid w:val="0057276B"/>
    <w:rsid w:val="00573B51"/>
    <w:rsid w:val="00576D0E"/>
    <w:rsid w:val="00592536"/>
    <w:rsid w:val="005947A0"/>
    <w:rsid w:val="00595F3C"/>
    <w:rsid w:val="0059754A"/>
    <w:rsid w:val="00597CAC"/>
    <w:rsid w:val="005A01AD"/>
    <w:rsid w:val="005B2C71"/>
    <w:rsid w:val="005B40B3"/>
    <w:rsid w:val="005B480B"/>
    <w:rsid w:val="005C528B"/>
    <w:rsid w:val="005C5AB3"/>
    <w:rsid w:val="005C636D"/>
    <w:rsid w:val="005D01CA"/>
    <w:rsid w:val="005D5D6B"/>
    <w:rsid w:val="005D5F65"/>
    <w:rsid w:val="005E4596"/>
    <w:rsid w:val="005E53D2"/>
    <w:rsid w:val="005F06FC"/>
    <w:rsid w:val="00602A7B"/>
    <w:rsid w:val="00602FDD"/>
    <w:rsid w:val="00616299"/>
    <w:rsid w:val="00616BBE"/>
    <w:rsid w:val="00617803"/>
    <w:rsid w:val="0062146F"/>
    <w:rsid w:val="00632766"/>
    <w:rsid w:val="00635369"/>
    <w:rsid w:val="00640804"/>
    <w:rsid w:val="006438E0"/>
    <w:rsid w:val="00654A03"/>
    <w:rsid w:val="00655F2D"/>
    <w:rsid w:val="00662037"/>
    <w:rsid w:val="00663D89"/>
    <w:rsid w:val="00666780"/>
    <w:rsid w:val="00667634"/>
    <w:rsid w:val="00675C49"/>
    <w:rsid w:val="006858E8"/>
    <w:rsid w:val="00694BAA"/>
    <w:rsid w:val="006961E0"/>
    <w:rsid w:val="00696EC6"/>
    <w:rsid w:val="006A2512"/>
    <w:rsid w:val="006A2607"/>
    <w:rsid w:val="006A2A3F"/>
    <w:rsid w:val="006A417B"/>
    <w:rsid w:val="006A4DDA"/>
    <w:rsid w:val="006B2352"/>
    <w:rsid w:val="006B26D4"/>
    <w:rsid w:val="006B5854"/>
    <w:rsid w:val="006B68C8"/>
    <w:rsid w:val="006C7A50"/>
    <w:rsid w:val="006D6F77"/>
    <w:rsid w:val="006D73DF"/>
    <w:rsid w:val="006E5317"/>
    <w:rsid w:val="006F5235"/>
    <w:rsid w:val="007031FE"/>
    <w:rsid w:val="007277D6"/>
    <w:rsid w:val="007317A0"/>
    <w:rsid w:val="00735310"/>
    <w:rsid w:val="007365E9"/>
    <w:rsid w:val="00737016"/>
    <w:rsid w:val="00752DFF"/>
    <w:rsid w:val="00755343"/>
    <w:rsid w:val="00755F1A"/>
    <w:rsid w:val="00756D3B"/>
    <w:rsid w:val="00757795"/>
    <w:rsid w:val="00760F18"/>
    <w:rsid w:val="00762E8B"/>
    <w:rsid w:val="007659D8"/>
    <w:rsid w:val="00775BA9"/>
    <w:rsid w:val="00781DBA"/>
    <w:rsid w:val="00784091"/>
    <w:rsid w:val="00791395"/>
    <w:rsid w:val="00797FCE"/>
    <w:rsid w:val="007A44A5"/>
    <w:rsid w:val="007A782E"/>
    <w:rsid w:val="007B19FC"/>
    <w:rsid w:val="007B79E8"/>
    <w:rsid w:val="007C19C6"/>
    <w:rsid w:val="007C39F2"/>
    <w:rsid w:val="007C530B"/>
    <w:rsid w:val="007D276E"/>
    <w:rsid w:val="007E2368"/>
    <w:rsid w:val="007E750B"/>
    <w:rsid w:val="007E7709"/>
    <w:rsid w:val="007E774E"/>
    <w:rsid w:val="007F07A3"/>
    <w:rsid w:val="007F3673"/>
    <w:rsid w:val="00804DD4"/>
    <w:rsid w:val="00807A20"/>
    <w:rsid w:val="0081143A"/>
    <w:rsid w:val="00812CCF"/>
    <w:rsid w:val="00815F2B"/>
    <w:rsid w:val="008330D5"/>
    <w:rsid w:val="00843A50"/>
    <w:rsid w:val="00857DFE"/>
    <w:rsid w:val="008650E3"/>
    <w:rsid w:val="008651BD"/>
    <w:rsid w:val="008672EE"/>
    <w:rsid w:val="00873890"/>
    <w:rsid w:val="008809B6"/>
    <w:rsid w:val="008823FA"/>
    <w:rsid w:val="00884A76"/>
    <w:rsid w:val="00884A95"/>
    <w:rsid w:val="00892F24"/>
    <w:rsid w:val="008A68AA"/>
    <w:rsid w:val="008A7319"/>
    <w:rsid w:val="008B0D7E"/>
    <w:rsid w:val="008B3792"/>
    <w:rsid w:val="008C4552"/>
    <w:rsid w:val="008D092E"/>
    <w:rsid w:val="008D3B51"/>
    <w:rsid w:val="008D7214"/>
    <w:rsid w:val="008E02CE"/>
    <w:rsid w:val="008E576D"/>
    <w:rsid w:val="008F01B1"/>
    <w:rsid w:val="008F02B5"/>
    <w:rsid w:val="008F02C7"/>
    <w:rsid w:val="008F4088"/>
    <w:rsid w:val="00900781"/>
    <w:rsid w:val="009027AB"/>
    <w:rsid w:val="00903031"/>
    <w:rsid w:val="00904095"/>
    <w:rsid w:val="00905B4E"/>
    <w:rsid w:val="00905B4F"/>
    <w:rsid w:val="00910A87"/>
    <w:rsid w:val="00914C6B"/>
    <w:rsid w:val="00917403"/>
    <w:rsid w:val="00917E33"/>
    <w:rsid w:val="0092270E"/>
    <w:rsid w:val="00925285"/>
    <w:rsid w:val="00936F6B"/>
    <w:rsid w:val="00947253"/>
    <w:rsid w:val="00955F45"/>
    <w:rsid w:val="00962A41"/>
    <w:rsid w:val="009671A1"/>
    <w:rsid w:val="00971715"/>
    <w:rsid w:val="009749B8"/>
    <w:rsid w:val="00982E30"/>
    <w:rsid w:val="00986877"/>
    <w:rsid w:val="009A62A9"/>
    <w:rsid w:val="009A6F08"/>
    <w:rsid w:val="009B21D2"/>
    <w:rsid w:val="009B26D5"/>
    <w:rsid w:val="009B2E58"/>
    <w:rsid w:val="009B58ED"/>
    <w:rsid w:val="009C08EE"/>
    <w:rsid w:val="009D0487"/>
    <w:rsid w:val="009E4024"/>
    <w:rsid w:val="009E4FED"/>
    <w:rsid w:val="00A104CC"/>
    <w:rsid w:val="00A10A7C"/>
    <w:rsid w:val="00A11223"/>
    <w:rsid w:val="00A113C4"/>
    <w:rsid w:val="00A12198"/>
    <w:rsid w:val="00A127DD"/>
    <w:rsid w:val="00A14EDA"/>
    <w:rsid w:val="00A1557F"/>
    <w:rsid w:val="00A164C4"/>
    <w:rsid w:val="00A21C27"/>
    <w:rsid w:val="00A22492"/>
    <w:rsid w:val="00A26A15"/>
    <w:rsid w:val="00A35BDB"/>
    <w:rsid w:val="00A35C68"/>
    <w:rsid w:val="00A36C4B"/>
    <w:rsid w:val="00A42C4A"/>
    <w:rsid w:val="00A45051"/>
    <w:rsid w:val="00A504AB"/>
    <w:rsid w:val="00A549BD"/>
    <w:rsid w:val="00A55EB7"/>
    <w:rsid w:val="00A62DB4"/>
    <w:rsid w:val="00A70514"/>
    <w:rsid w:val="00A708DA"/>
    <w:rsid w:val="00A74B13"/>
    <w:rsid w:val="00A75647"/>
    <w:rsid w:val="00A93624"/>
    <w:rsid w:val="00A97419"/>
    <w:rsid w:val="00AA7C3C"/>
    <w:rsid w:val="00AB4F29"/>
    <w:rsid w:val="00AC3E3B"/>
    <w:rsid w:val="00AC6CC0"/>
    <w:rsid w:val="00AD0959"/>
    <w:rsid w:val="00AD44DC"/>
    <w:rsid w:val="00AE0D6C"/>
    <w:rsid w:val="00AE1CAD"/>
    <w:rsid w:val="00AE3946"/>
    <w:rsid w:val="00AE7198"/>
    <w:rsid w:val="00AE7A65"/>
    <w:rsid w:val="00AF1EC5"/>
    <w:rsid w:val="00AF4FA2"/>
    <w:rsid w:val="00B0163F"/>
    <w:rsid w:val="00B02FEC"/>
    <w:rsid w:val="00B03239"/>
    <w:rsid w:val="00B12CD2"/>
    <w:rsid w:val="00B13A0C"/>
    <w:rsid w:val="00B2410F"/>
    <w:rsid w:val="00B316A8"/>
    <w:rsid w:val="00B33514"/>
    <w:rsid w:val="00B33FDF"/>
    <w:rsid w:val="00B350B0"/>
    <w:rsid w:val="00B372A7"/>
    <w:rsid w:val="00B41F19"/>
    <w:rsid w:val="00B43F80"/>
    <w:rsid w:val="00B446ED"/>
    <w:rsid w:val="00B46B41"/>
    <w:rsid w:val="00B527A1"/>
    <w:rsid w:val="00B639FD"/>
    <w:rsid w:val="00B640E4"/>
    <w:rsid w:val="00B650B3"/>
    <w:rsid w:val="00B659FB"/>
    <w:rsid w:val="00B662FD"/>
    <w:rsid w:val="00B73178"/>
    <w:rsid w:val="00B77967"/>
    <w:rsid w:val="00B82FFE"/>
    <w:rsid w:val="00B84A44"/>
    <w:rsid w:val="00B90354"/>
    <w:rsid w:val="00B903EF"/>
    <w:rsid w:val="00B91E76"/>
    <w:rsid w:val="00BA1364"/>
    <w:rsid w:val="00BA1956"/>
    <w:rsid w:val="00BA2245"/>
    <w:rsid w:val="00BA627B"/>
    <w:rsid w:val="00BA6704"/>
    <w:rsid w:val="00BA7131"/>
    <w:rsid w:val="00BB1C74"/>
    <w:rsid w:val="00BB2C9C"/>
    <w:rsid w:val="00BB32B3"/>
    <w:rsid w:val="00BB399E"/>
    <w:rsid w:val="00BB4332"/>
    <w:rsid w:val="00BD5B79"/>
    <w:rsid w:val="00BF120D"/>
    <w:rsid w:val="00BF39BB"/>
    <w:rsid w:val="00BF4819"/>
    <w:rsid w:val="00BF5281"/>
    <w:rsid w:val="00BF7233"/>
    <w:rsid w:val="00C03322"/>
    <w:rsid w:val="00C07F35"/>
    <w:rsid w:val="00C1072C"/>
    <w:rsid w:val="00C16641"/>
    <w:rsid w:val="00C27181"/>
    <w:rsid w:val="00C32A92"/>
    <w:rsid w:val="00C33351"/>
    <w:rsid w:val="00C35934"/>
    <w:rsid w:val="00C438A6"/>
    <w:rsid w:val="00C440A5"/>
    <w:rsid w:val="00C521F8"/>
    <w:rsid w:val="00C55242"/>
    <w:rsid w:val="00C57E8D"/>
    <w:rsid w:val="00C67C4C"/>
    <w:rsid w:val="00C82B14"/>
    <w:rsid w:val="00C8326E"/>
    <w:rsid w:val="00C950D2"/>
    <w:rsid w:val="00C96E59"/>
    <w:rsid w:val="00CA160D"/>
    <w:rsid w:val="00CA7BF3"/>
    <w:rsid w:val="00CB528C"/>
    <w:rsid w:val="00CB68CF"/>
    <w:rsid w:val="00CC04A7"/>
    <w:rsid w:val="00CC1368"/>
    <w:rsid w:val="00CC647F"/>
    <w:rsid w:val="00CC732B"/>
    <w:rsid w:val="00CC7BB6"/>
    <w:rsid w:val="00CD30C7"/>
    <w:rsid w:val="00CD39E4"/>
    <w:rsid w:val="00CD6B6C"/>
    <w:rsid w:val="00CE00CF"/>
    <w:rsid w:val="00CE6358"/>
    <w:rsid w:val="00CE70A8"/>
    <w:rsid w:val="00CF7097"/>
    <w:rsid w:val="00D075B4"/>
    <w:rsid w:val="00D13ADD"/>
    <w:rsid w:val="00D25795"/>
    <w:rsid w:val="00D25ADE"/>
    <w:rsid w:val="00D4108B"/>
    <w:rsid w:val="00D437EE"/>
    <w:rsid w:val="00D54757"/>
    <w:rsid w:val="00D603BD"/>
    <w:rsid w:val="00D66774"/>
    <w:rsid w:val="00D708C1"/>
    <w:rsid w:val="00D72DAB"/>
    <w:rsid w:val="00D72F79"/>
    <w:rsid w:val="00D740A5"/>
    <w:rsid w:val="00D75A27"/>
    <w:rsid w:val="00D82443"/>
    <w:rsid w:val="00D82BA5"/>
    <w:rsid w:val="00D86CD1"/>
    <w:rsid w:val="00D87D8E"/>
    <w:rsid w:val="00DB02B6"/>
    <w:rsid w:val="00DB1A1C"/>
    <w:rsid w:val="00DB2951"/>
    <w:rsid w:val="00DB3EC8"/>
    <w:rsid w:val="00DB46E4"/>
    <w:rsid w:val="00DB6483"/>
    <w:rsid w:val="00DC1625"/>
    <w:rsid w:val="00DC277A"/>
    <w:rsid w:val="00DD18AB"/>
    <w:rsid w:val="00DD3F5C"/>
    <w:rsid w:val="00DF2E85"/>
    <w:rsid w:val="00E03C7E"/>
    <w:rsid w:val="00E041CF"/>
    <w:rsid w:val="00E11EA5"/>
    <w:rsid w:val="00E13DEA"/>
    <w:rsid w:val="00E15473"/>
    <w:rsid w:val="00E17B71"/>
    <w:rsid w:val="00E204A3"/>
    <w:rsid w:val="00E31F9B"/>
    <w:rsid w:val="00E40A75"/>
    <w:rsid w:val="00E43891"/>
    <w:rsid w:val="00E45E41"/>
    <w:rsid w:val="00E46858"/>
    <w:rsid w:val="00E53CB7"/>
    <w:rsid w:val="00E571E1"/>
    <w:rsid w:val="00E624C8"/>
    <w:rsid w:val="00E73B45"/>
    <w:rsid w:val="00E909B6"/>
    <w:rsid w:val="00E90E92"/>
    <w:rsid w:val="00E93138"/>
    <w:rsid w:val="00E962D0"/>
    <w:rsid w:val="00EA0AE6"/>
    <w:rsid w:val="00EA38BE"/>
    <w:rsid w:val="00EB164B"/>
    <w:rsid w:val="00EB5AB7"/>
    <w:rsid w:val="00EC11EB"/>
    <w:rsid w:val="00EC32D3"/>
    <w:rsid w:val="00EC4F5D"/>
    <w:rsid w:val="00EC6F12"/>
    <w:rsid w:val="00ED2AA8"/>
    <w:rsid w:val="00EE04FA"/>
    <w:rsid w:val="00EE18B6"/>
    <w:rsid w:val="00EE46C7"/>
    <w:rsid w:val="00EE67C3"/>
    <w:rsid w:val="00EF1882"/>
    <w:rsid w:val="00EF6D63"/>
    <w:rsid w:val="00F04736"/>
    <w:rsid w:val="00F11078"/>
    <w:rsid w:val="00F16D11"/>
    <w:rsid w:val="00F200DE"/>
    <w:rsid w:val="00F23752"/>
    <w:rsid w:val="00F2505C"/>
    <w:rsid w:val="00F25368"/>
    <w:rsid w:val="00F26C8F"/>
    <w:rsid w:val="00F4350F"/>
    <w:rsid w:val="00F4580F"/>
    <w:rsid w:val="00F464C9"/>
    <w:rsid w:val="00F52C30"/>
    <w:rsid w:val="00F54DDF"/>
    <w:rsid w:val="00F5625C"/>
    <w:rsid w:val="00F5683C"/>
    <w:rsid w:val="00F70D41"/>
    <w:rsid w:val="00F751BE"/>
    <w:rsid w:val="00F81B23"/>
    <w:rsid w:val="00F9040A"/>
    <w:rsid w:val="00F91819"/>
    <w:rsid w:val="00F96CAA"/>
    <w:rsid w:val="00FA1722"/>
    <w:rsid w:val="00FA76EE"/>
    <w:rsid w:val="00FA7AD8"/>
    <w:rsid w:val="00FB325F"/>
    <w:rsid w:val="00FB583A"/>
    <w:rsid w:val="00FB6755"/>
    <w:rsid w:val="00FC1313"/>
    <w:rsid w:val="00FC433B"/>
    <w:rsid w:val="00FC6265"/>
    <w:rsid w:val="00FC795F"/>
    <w:rsid w:val="00FD0D34"/>
    <w:rsid w:val="00FD1E31"/>
    <w:rsid w:val="00FD299E"/>
    <w:rsid w:val="00FD5E63"/>
    <w:rsid w:val="00FD6C53"/>
    <w:rsid w:val="00FE7603"/>
    <w:rsid w:val="00FF0F26"/>
    <w:rsid w:val="00FF296F"/>
    <w:rsid w:val="00FF5887"/>
    <w:rsid w:val="00FF69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0F87272"/>
  <w15:chartTrackingRefBased/>
  <w15:docId w15:val="{553D97D6-0E15-43F6-98BD-CF03E436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608"/>
    <w:rPr>
      <w:rFonts w:ascii="Arial" w:eastAsia="Times New Roman" w:hAnsi="Arial"/>
      <w:bCs/>
      <w:sz w:val="24"/>
      <w:szCs w:val="24"/>
    </w:rPr>
  </w:style>
  <w:style w:type="paragraph" w:styleId="Heading1">
    <w:name w:val="heading 1"/>
    <w:basedOn w:val="Normal"/>
    <w:next w:val="Normal"/>
    <w:link w:val="Heading1Char"/>
    <w:qFormat/>
    <w:rsid w:val="00545608"/>
    <w:pPr>
      <w:keepNext/>
      <w:ind w:left="-567" w:right="-851"/>
      <w:outlineLvl w:val="0"/>
    </w:pPr>
    <w:rPr>
      <w:rFonts w:cs="Arial"/>
      <w:b/>
      <w:bCs w:val="0"/>
      <w:color w:val="008000"/>
      <w:sz w:val="20"/>
      <w:szCs w:val="22"/>
    </w:rPr>
  </w:style>
  <w:style w:type="paragraph" w:styleId="Heading2">
    <w:name w:val="heading 2"/>
    <w:basedOn w:val="Normal"/>
    <w:next w:val="Normal"/>
    <w:link w:val="Heading2Char"/>
    <w:qFormat/>
    <w:rsid w:val="00545608"/>
    <w:pPr>
      <w:keepNext/>
      <w:numPr>
        <w:numId w:val="1"/>
      </w:numPr>
      <w:outlineLvl w:val="1"/>
    </w:pPr>
    <w:rPr>
      <w:b/>
      <w:bCs w:val="0"/>
    </w:rPr>
  </w:style>
  <w:style w:type="paragraph" w:styleId="Heading3">
    <w:name w:val="heading 3"/>
    <w:aliases w:val="h3,Major,1.2.3.,titolo 3,h3 sub heading,Sec,Centered,Subparagraaf,Section,H3,centered,Chapitre 3,Heading 3 Char Car,centered Car,Chapitre 3 Car,Titre 3 Car1,Sec Car1,Centered Car1,Subparagraaf Car1,Section Car1"/>
    <w:basedOn w:val="Normal"/>
    <w:next w:val="Normal"/>
    <w:link w:val="Heading3Char"/>
    <w:unhideWhenUsed/>
    <w:qFormat/>
    <w:rsid w:val="00CC732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545608"/>
    <w:pPr>
      <w:keepNext/>
      <w:jc w:val="center"/>
      <w:outlineLvl w:val="3"/>
    </w:pPr>
    <w:rPr>
      <w:b/>
      <w:sz w:val="28"/>
      <w:lang w:val="fr-FR"/>
    </w:rPr>
  </w:style>
  <w:style w:type="paragraph" w:styleId="Heading5">
    <w:name w:val="heading 5"/>
    <w:basedOn w:val="Normal"/>
    <w:next w:val="Normal"/>
    <w:link w:val="Heading5Char"/>
    <w:qFormat/>
    <w:rsid w:val="00545608"/>
    <w:pPr>
      <w:keepNext/>
      <w:jc w:val="center"/>
      <w:outlineLvl w:val="4"/>
    </w:pPr>
    <w:rPr>
      <w:b/>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5608"/>
    <w:rPr>
      <w:rFonts w:ascii="Arial" w:eastAsia="Times New Roman" w:hAnsi="Arial" w:cs="Arial"/>
      <w:b/>
      <w:color w:val="008000"/>
      <w:sz w:val="20"/>
    </w:rPr>
  </w:style>
  <w:style w:type="character" w:customStyle="1" w:styleId="Heading2Char">
    <w:name w:val="Heading 2 Char"/>
    <w:link w:val="Heading2"/>
    <w:rsid w:val="00545608"/>
    <w:rPr>
      <w:rFonts w:ascii="Arial" w:eastAsia="Times New Roman" w:hAnsi="Arial"/>
      <w:b/>
      <w:sz w:val="24"/>
      <w:szCs w:val="24"/>
    </w:rPr>
  </w:style>
  <w:style w:type="character" w:customStyle="1" w:styleId="Heading4Char">
    <w:name w:val="Heading 4 Char"/>
    <w:link w:val="Heading4"/>
    <w:rsid w:val="00545608"/>
    <w:rPr>
      <w:rFonts w:ascii="Arial" w:eastAsia="Times New Roman" w:hAnsi="Arial" w:cs="Times New Roman"/>
      <w:b/>
      <w:bCs/>
      <w:sz w:val="28"/>
      <w:szCs w:val="24"/>
      <w:lang w:val="fr-FR"/>
    </w:rPr>
  </w:style>
  <w:style w:type="character" w:customStyle="1" w:styleId="Heading5Char">
    <w:name w:val="Heading 5 Char"/>
    <w:link w:val="Heading5"/>
    <w:rsid w:val="00545608"/>
    <w:rPr>
      <w:rFonts w:ascii="Arial" w:eastAsia="Times New Roman" w:hAnsi="Arial" w:cs="Times New Roman"/>
      <w:b/>
      <w:bCs/>
      <w:sz w:val="24"/>
      <w:szCs w:val="24"/>
      <w:u w:val="single"/>
      <w:lang w:val="fr-FR"/>
    </w:rPr>
  </w:style>
  <w:style w:type="paragraph" w:styleId="Header">
    <w:name w:val="header"/>
    <w:basedOn w:val="Normal"/>
    <w:link w:val="HeaderChar"/>
    <w:semiHidden/>
    <w:rsid w:val="00545608"/>
    <w:pPr>
      <w:tabs>
        <w:tab w:val="center" w:pos="4320"/>
        <w:tab w:val="right" w:pos="8640"/>
      </w:tabs>
    </w:pPr>
  </w:style>
  <w:style w:type="character" w:customStyle="1" w:styleId="HeaderChar">
    <w:name w:val="Header Char"/>
    <w:link w:val="Header"/>
    <w:semiHidden/>
    <w:rsid w:val="00545608"/>
    <w:rPr>
      <w:rFonts w:ascii="Arial" w:eastAsia="Times New Roman" w:hAnsi="Arial" w:cs="Times New Roman"/>
      <w:bCs/>
      <w:noProof/>
      <w:sz w:val="24"/>
      <w:szCs w:val="24"/>
    </w:rPr>
  </w:style>
  <w:style w:type="character" w:styleId="PageNumber">
    <w:name w:val="page number"/>
    <w:basedOn w:val="DefaultParagraphFont"/>
    <w:semiHidden/>
    <w:rsid w:val="00545608"/>
  </w:style>
  <w:style w:type="paragraph" w:styleId="BalloonText">
    <w:name w:val="Balloon Text"/>
    <w:basedOn w:val="Normal"/>
    <w:link w:val="BalloonTextChar"/>
    <w:unhideWhenUsed/>
    <w:rsid w:val="00545608"/>
    <w:rPr>
      <w:rFonts w:ascii="Tahoma" w:hAnsi="Tahoma" w:cs="Tahoma"/>
      <w:sz w:val="16"/>
      <w:szCs w:val="16"/>
    </w:rPr>
  </w:style>
  <w:style w:type="character" w:customStyle="1" w:styleId="BalloonTextChar">
    <w:name w:val="Balloon Text Char"/>
    <w:link w:val="BalloonText"/>
    <w:rsid w:val="00545608"/>
    <w:rPr>
      <w:rFonts w:ascii="Tahoma" w:eastAsia="Times New Roman" w:hAnsi="Tahoma" w:cs="Tahoma"/>
      <w:bCs/>
      <w:noProof/>
      <w:sz w:val="16"/>
      <w:szCs w:val="16"/>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D66774"/>
    <w:pPr>
      <w:ind w:left="720"/>
      <w:contextualSpacing/>
    </w:pPr>
    <w:rPr>
      <w:rFonts w:ascii="Times New Roman" w:hAnsi="Times New Roman"/>
      <w:bCs w:val="0"/>
    </w:rPr>
  </w:style>
  <w:style w:type="character" w:customStyle="1" w:styleId="MHDG">
    <w:name w:val="MHDG"/>
    <w:basedOn w:val="DefaultParagraphFont"/>
    <w:rsid w:val="00484745"/>
    <w:rPr>
      <w:b/>
      <w:sz w:val="36"/>
    </w:rPr>
  </w:style>
  <w:style w:type="table" w:styleId="TableGrid">
    <w:name w:val="Table Grid"/>
    <w:basedOn w:val="TableNormal"/>
    <w:uiPriority w:val="59"/>
    <w:rsid w:val="00484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0B40FB"/>
    <w:pPr>
      <w:spacing w:after="240"/>
      <w:ind w:firstLine="720"/>
      <w:jc w:val="both"/>
    </w:pPr>
    <w:rPr>
      <w:rFonts w:ascii="Times New Roman" w:hAnsi="Times New Roman"/>
      <w:bCs w:val="0"/>
      <w:sz w:val="22"/>
      <w:szCs w:val="20"/>
    </w:rPr>
  </w:style>
  <w:style w:type="character" w:customStyle="1" w:styleId="ModelNrmlSingleChar">
    <w:name w:val="ModelNrmlSingle Char"/>
    <w:link w:val="ModelNrmlSingle"/>
    <w:locked/>
    <w:rsid w:val="000B40FB"/>
    <w:rPr>
      <w:rFonts w:ascii="Times New Roman" w:eastAsia="Times New Roman" w:hAnsi="Times New Roman"/>
      <w:sz w:val="22"/>
    </w:rPr>
  </w:style>
  <w:style w:type="paragraph" w:customStyle="1" w:styleId="Default">
    <w:name w:val="Default"/>
    <w:rsid w:val="000B40FB"/>
    <w:pPr>
      <w:autoSpaceDE w:val="0"/>
      <w:autoSpaceDN w:val="0"/>
      <w:adjustRightInd w:val="0"/>
    </w:pPr>
    <w:rPr>
      <w:rFonts w:ascii="Times New Roman" w:hAnsi="Times New Roman"/>
      <w:color w:val="000000"/>
      <w:sz w:val="24"/>
      <w:szCs w:val="24"/>
    </w:rPr>
  </w:style>
  <w:style w:type="paragraph" w:styleId="Footer">
    <w:name w:val="footer"/>
    <w:basedOn w:val="Normal"/>
    <w:link w:val="FooterChar"/>
    <w:uiPriority w:val="99"/>
    <w:unhideWhenUsed/>
    <w:rsid w:val="00F4350F"/>
    <w:pPr>
      <w:tabs>
        <w:tab w:val="center" w:pos="4680"/>
        <w:tab w:val="right" w:pos="9360"/>
      </w:tabs>
    </w:pPr>
  </w:style>
  <w:style w:type="character" w:customStyle="1" w:styleId="FooterChar">
    <w:name w:val="Footer Char"/>
    <w:basedOn w:val="DefaultParagraphFont"/>
    <w:link w:val="Footer"/>
    <w:uiPriority w:val="99"/>
    <w:rsid w:val="00F4350F"/>
    <w:rPr>
      <w:rFonts w:ascii="Arial" w:eastAsia="Times New Roman" w:hAnsi="Arial"/>
      <w:bCs/>
      <w:sz w:val="24"/>
      <w:szCs w:val="24"/>
    </w:rPr>
  </w:style>
  <w:style w:type="paragraph" w:customStyle="1" w:styleId="ECDPMnormal">
    <w:name w:val="ECDPM normal"/>
    <w:basedOn w:val="Normal"/>
    <w:qFormat/>
    <w:rsid w:val="007B19FC"/>
    <w:pPr>
      <w:autoSpaceDE w:val="0"/>
      <w:autoSpaceDN w:val="0"/>
      <w:spacing w:line="280" w:lineRule="atLeast"/>
      <w:jc w:val="both"/>
    </w:pPr>
    <w:rPr>
      <w:rFonts w:cs="Arial Black"/>
      <w:bCs w:val="0"/>
      <w:sz w:val="20"/>
      <w:lang w:val="en-GB" w:eastAsia="ja-JP"/>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7B19FC"/>
    <w:rPr>
      <w:rFonts w:ascii="Times New Roman" w:eastAsia="Times New Roman" w:hAnsi="Times New Roman"/>
      <w:sz w:val="24"/>
      <w:szCs w:val="24"/>
    </w:rPr>
  </w:style>
  <w:style w:type="paragraph" w:styleId="Revision">
    <w:name w:val="Revision"/>
    <w:hidden/>
    <w:uiPriority w:val="99"/>
    <w:semiHidden/>
    <w:rsid w:val="00CA160D"/>
    <w:rPr>
      <w:rFonts w:ascii="Arial" w:eastAsia="Times New Roman" w:hAnsi="Arial"/>
      <w:bCs/>
      <w:sz w:val="24"/>
      <w:szCs w:val="24"/>
    </w:rPr>
  </w:style>
  <w:style w:type="character" w:styleId="Hyperlink">
    <w:name w:val="Hyperlink"/>
    <w:basedOn w:val="DefaultParagraphFont"/>
    <w:uiPriority w:val="99"/>
    <w:unhideWhenUsed/>
    <w:rsid w:val="00BF120D"/>
    <w:rPr>
      <w:color w:val="0563C1" w:themeColor="hyperlink"/>
      <w:u w:val="single"/>
    </w:rPr>
  </w:style>
  <w:style w:type="character" w:styleId="UnresolvedMention">
    <w:name w:val="Unresolved Mention"/>
    <w:basedOn w:val="DefaultParagraphFont"/>
    <w:uiPriority w:val="99"/>
    <w:semiHidden/>
    <w:unhideWhenUsed/>
    <w:rsid w:val="00BF120D"/>
    <w:rPr>
      <w:color w:val="605E5C"/>
      <w:shd w:val="clear" w:color="auto" w:fill="E1DFDD"/>
    </w:rPr>
  </w:style>
  <w:style w:type="paragraph" w:styleId="NormalWeb">
    <w:name w:val="Normal (Web)"/>
    <w:basedOn w:val="Normal"/>
    <w:uiPriority w:val="99"/>
    <w:semiHidden/>
    <w:unhideWhenUsed/>
    <w:rsid w:val="004A3B13"/>
    <w:pPr>
      <w:spacing w:before="100" w:beforeAutospacing="1" w:after="100" w:afterAutospacing="1"/>
    </w:pPr>
    <w:rPr>
      <w:rFonts w:ascii="Times New Roman" w:hAnsi="Times New Roman"/>
      <w:bCs w:val="0"/>
    </w:rPr>
  </w:style>
  <w:style w:type="character" w:styleId="Strong">
    <w:name w:val="Strong"/>
    <w:basedOn w:val="DefaultParagraphFont"/>
    <w:uiPriority w:val="22"/>
    <w:qFormat/>
    <w:rsid w:val="004A3B13"/>
    <w:rPr>
      <w:b/>
      <w:bCs/>
    </w:rPr>
  </w:style>
  <w:style w:type="character" w:styleId="CommentReference">
    <w:name w:val="annotation reference"/>
    <w:basedOn w:val="DefaultParagraphFont"/>
    <w:uiPriority w:val="99"/>
    <w:semiHidden/>
    <w:unhideWhenUsed/>
    <w:rsid w:val="00CD6B6C"/>
    <w:rPr>
      <w:sz w:val="16"/>
      <w:szCs w:val="16"/>
    </w:rPr>
  </w:style>
  <w:style w:type="paragraph" w:styleId="CommentText">
    <w:name w:val="annotation text"/>
    <w:basedOn w:val="Normal"/>
    <w:link w:val="CommentTextChar"/>
    <w:uiPriority w:val="99"/>
    <w:unhideWhenUsed/>
    <w:rsid w:val="00CD6B6C"/>
    <w:rPr>
      <w:sz w:val="20"/>
      <w:szCs w:val="20"/>
    </w:rPr>
  </w:style>
  <w:style w:type="character" w:customStyle="1" w:styleId="CommentTextChar">
    <w:name w:val="Comment Text Char"/>
    <w:basedOn w:val="DefaultParagraphFont"/>
    <w:link w:val="CommentText"/>
    <w:uiPriority w:val="99"/>
    <w:rsid w:val="00CD6B6C"/>
    <w:rPr>
      <w:rFonts w:ascii="Arial" w:eastAsia="Times New Roman" w:hAnsi="Arial"/>
      <w:bCs/>
    </w:rPr>
  </w:style>
  <w:style w:type="paragraph" w:styleId="CommentSubject">
    <w:name w:val="annotation subject"/>
    <w:basedOn w:val="CommentText"/>
    <w:next w:val="CommentText"/>
    <w:link w:val="CommentSubjectChar"/>
    <w:uiPriority w:val="99"/>
    <w:semiHidden/>
    <w:unhideWhenUsed/>
    <w:rsid w:val="009671A1"/>
    <w:rPr>
      <w:b/>
    </w:rPr>
  </w:style>
  <w:style w:type="character" w:customStyle="1" w:styleId="CommentSubjectChar">
    <w:name w:val="Comment Subject Char"/>
    <w:basedOn w:val="CommentTextChar"/>
    <w:link w:val="CommentSubject"/>
    <w:uiPriority w:val="99"/>
    <w:semiHidden/>
    <w:rsid w:val="009671A1"/>
    <w:rPr>
      <w:rFonts w:ascii="Arial" w:eastAsia="Times New Roman" w:hAnsi="Arial"/>
      <w:b/>
      <w:bCs/>
    </w:rPr>
  </w:style>
  <w:style w:type="character" w:customStyle="1" w:styleId="Heading3Char">
    <w:name w:val="Heading 3 Char"/>
    <w:aliases w:val="h3 Char,Major Char,1.2.3. Char,titolo 3 Char,h3 sub heading Char,Sec Char,Centered Char,Subparagraaf Char,Section Char,H3 Char,centered Char,Chapitre 3 Char,Heading 3 Char Car Char,centered Car Char,Chapitre 3 Car Char,Titre 3 Car1 Char"/>
    <w:basedOn w:val="DefaultParagraphFont"/>
    <w:link w:val="Heading3"/>
    <w:uiPriority w:val="9"/>
    <w:semiHidden/>
    <w:rsid w:val="00CC732B"/>
    <w:rPr>
      <w:rFonts w:asciiTheme="majorHAnsi" w:eastAsiaTheme="majorEastAsia" w:hAnsiTheme="majorHAnsi" w:cstheme="majorBidi"/>
      <w:bCs/>
      <w:color w:val="1F4D78" w:themeColor="accent1" w:themeShade="7F"/>
      <w:sz w:val="24"/>
      <w:szCs w:val="24"/>
    </w:rPr>
  </w:style>
  <w:style w:type="paragraph" w:styleId="FootnoteText">
    <w:name w:val="footnote text"/>
    <w:aliases w:val="single space Char,footnote text Char,ft Char,Footnote Text Char1 Char Char,Footnote Text Char1 Char Char Char,ft,single space,footnote text,FOOTNOTES,fn,Footnote Text Char2 Char,ALTS FOOTNOTE,ADB,ADB Char,Fußnotentextf,Geneva 9,Boston 10,f"/>
    <w:basedOn w:val="Normal"/>
    <w:link w:val="FootnoteTextChar"/>
    <w:uiPriority w:val="99"/>
    <w:qFormat/>
    <w:rsid w:val="00BA627B"/>
    <w:rPr>
      <w:rFonts w:ascii="Calibri" w:hAnsi="Calibri" w:cs="Arial"/>
      <w:bCs w:val="0"/>
      <w:sz w:val="20"/>
      <w:szCs w:val="20"/>
      <w:lang w:bidi="he-IL"/>
    </w:rPr>
  </w:style>
  <w:style w:type="character" w:customStyle="1" w:styleId="FootnoteTextChar">
    <w:name w:val="Footnote Text Char"/>
    <w:aliases w:val="single space Char Char,footnote text Char Char,ft Char Char,Footnote Text Char1 Char Char Char1,Footnote Text Char1 Char Char Char Char,ft Char1,single space Char1,footnote text Char1,FOOTNOTES Char,fn Char,ALTS FOOTNOTE Char,f Char"/>
    <w:basedOn w:val="DefaultParagraphFont"/>
    <w:link w:val="FootnoteText"/>
    <w:uiPriority w:val="99"/>
    <w:qFormat/>
    <w:rsid w:val="00BA627B"/>
    <w:rPr>
      <w:rFonts w:eastAsia="Times New Roman" w:cs="Arial"/>
      <w:lang w:bidi="he-IL"/>
    </w:rPr>
  </w:style>
  <w:style w:type="character" w:styleId="FootnoteReference">
    <w:name w:val="footnote reference"/>
    <w:aliases w:val="16 Point,Superscript 6 Point,ftref,*Footnote Reference,Ref,de nota al pie,BVI fnr,fr,Used by Word for Help footnote symbols,Car Car Char Car Char Car Car Char Car Char Char,SUPERS,BVI f,R,Footnote,BVI fn,Footnote Reference Number,FC,o"/>
    <w:basedOn w:val="DefaultParagraphFont"/>
    <w:link w:val="CarattereCarattereCharCharCharCharCharCharZchn"/>
    <w:uiPriority w:val="99"/>
    <w:qFormat/>
    <w:rsid w:val="00BA627B"/>
    <w:rPr>
      <w:vertAlign w:val="superscript"/>
    </w:rPr>
  </w:style>
  <w:style w:type="paragraph" w:customStyle="1" w:styleId="CarattereCarattereCharCharCharCharCharCharZchn">
    <w:name w:val="Carattere Carattere Char Char Char Char Char Char Zchn"/>
    <w:basedOn w:val="Normal"/>
    <w:next w:val="Normal"/>
    <w:link w:val="FootnoteReference"/>
    <w:uiPriority w:val="99"/>
    <w:rsid w:val="00BA627B"/>
    <w:pPr>
      <w:spacing w:after="160" w:line="240" w:lineRule="exact"/>
      <w:jc w:val="both"/>
    </w:pPr>
    <w:rPr>
      <w:rFonts w:ascii="Calibri" w:eastAsia="Calibri" w:hAnsi="Calibri"/>
      <w:bCs w:val="0"/>
      <w:sz w:val="20"/>
      <w:szCs w:val="20"/>
      <w:vertAlign w:val="superscript"/>
    </w:rPr>
  </w:style>
  <w:style w:type="character" w:styleId="FollowedHyperlink">
    <w:name w:val="FollowedHyperlink"/>
    <w:basedOn w:val="DefaultParagraphFont"/>
    <w:uiPriority w:val="99"/>
    <w:semiHidden/>
    <w:unhideWhenUsed/>
    <w:rsid w:val="00815F2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03404">
      <w:bodyDiv w:val="1"/>
      <w:marLeft w:val="0"/>
      <w:marRight w:val="0"/>
      <w:marTop w:val="0"/>
      <w:marBottom w:val="0"/>
      <w:divBdr>
        <w:top w:val="none" w:sz="0" w:space="0" w:color="auto"/>
        <w:left w:val="none" w:sz="0" w:space="0" w:color="auto"/>
        <w:bottom w:val="none" w:sz="0" w:space="0" w:color="auto"/>
        <w:right w:val="none" w:sz="0" w:space="0" w:color="auto"/>
      </w:divBdr>
    </w:div>
    <w:div w:id="305159967">
      <w:bodyDiv w:val="1"/>
      <w:marLeft w:val="0"/>
      <w:marRight w:val="0"/>
      <w:marTop w:val="0"/>
      <w:marBottom w:val="0"/>
      <w:divBdr>
        <w:top w:val="none" w:sz="0" w:space="0" w:color="auto"/>
        <w:left w:val="none" w:sz="0" w:space="0" w:color="auto"/>
        <w:bottom w:val="none" w:sz="0" w:space="0" w:color="auto"/>
        <w:right w:val="none" w:sz="0" w:space="0" w:color="auto"/>
      </w:divBdr>
    </w:div>
    <w:div w:id="355547323">
      <w:bodyDiv w:val="1"/>
      <w:marLeft w:val="0"/>
      <w:marRight w:val="0"/>
      <w:marTop w:val="0"/>
      <w:marBottom w:val="0"/>
      <w:divBdr>
        <w:top w:val="none" w:sz="0" w:space="0" w:color="auto"/>
        <w:left w:val="none" w:sz="0" w:space="0" w:color="auto"/>
        <w:bottom w:val="none" w:sz="0" w:space="0" w:color="auto"/>
        <w:right w:val="none" w:sz="0" w:space="0" w:color="auto"/>
      </w:divBdr>
    </w:div>
    <w:div w:id="466045923">
      <w:bodyDiv w:val="1"/>
      <w:marLeft w:val="0"/>
      <w:marRight w:val="0"/>
      <w:marTop w:val="0"/>
      <w:marBottom w:val="0"/>
      <w:divBdr>
        <w:top w:val="none" w:sz="0" w:space="0" w:color="auto"/>
        <w:left w:val="none" w:sz="0" w:space="0" w:color="auto"/>
        <w:bottom w:val="none" w:sz="0" w:space="0" w:color="auto"/>
        <w:right w:val="none" w:sz="0" w:space="0" w:color="auto"/>
      </w:divBdr>
    </w:div>
    <w:div w:id="522746932">
      <w:bodyDiv w:val="1"/>
      <w:marLeft w:val="0"/>
      <w:marRight w:val="0"/>
      <w:marTop w:val="0"/>
      <w:marBottom w:val="0"/>
      <w:divBdr>
        <w:top w:val="none" w:sz="0" w:space="0" w:color="auto"/>
        <w:left w:val="none" w:sz="0" w:space="0" w:color="auto"/>
        <w:bottom w:val="none" w:sz="0" w:space="0" w:color="auto"/>
        <w:right w:val="none" w:sz="0" w:space="0" w:color="auto"/>
      </w:divBdr>
    </w:div>
    <w:div w:id="561524939">
      <w:bodyDiv w:val="1"/>
      <w:marLeft w:val="0"/>
      <w:marRight w:val="0"/>
      <w:marTop w:val="0"/>
      <w:marBottom w:val="0"/>
      <w:divBdr>
        <w:top w:val="none" w:sz="0" w:space="0" w:color="auto"/>
        <w:left w:val="none" w:sz="0" w:space="0" w:color="auto"/>
        <w:bottom w:val="none" w:sz="0" w:space="0" w:color="auto"/>
        <w:right w:val="none" w:sz="0" w:space="0" w:color="auto"/>
      </w:divBdr>
    </w:div>
    <w:div w:id="591860632">
      <w:bodyDiv w:val="1"/>
      <w:marLeft w:val="0"/>
      <w:marRight w:val="0"/>
      <w:marTop w:val="0"/>
      <w:marBottom w:val="0"/>
      <w:divBdr>
        <w:top w:val="none" w:sz="0" w:space="0" w:color="auto"/>
        <w:left w:val="none" w:sz="0" w:space="0" w:color="auto"/>
        <w:bottom w:val="none" w:sz="0" w:space="0" w:color="auto"/>
        <w:right w:val="none" w:sz="0" w:space="0" w:color="auto"/>
      </w:divBdr>
    </w:div>
    <w:div w:id="681007025">
      <w:bodyDiv w:val="1"/>
      <w:marLeft w:val="0"/>
      <w:marRight w:val="0"/>
      <w:marTop w:val="0"/>
      <w:marBottom w:val="0"/>
      <w:divBdr>
        <w:top w:val="none" w:sz="0" w:space="0" w:color="auto"/>
        <w:left w:val="none" w:sz="0" w:space="0" w:color="auto"/>
        <w:bottom w:val="none" w:sz="0" w:space="0" w:color="auto"/>
        <w:right w:val="none" w:sz="0" w:space="0" w:color="auto"/>
      </w:divBdr>
    </w:div>
    <w:div w:id="805780876">
      <w:bodyDiv w:val="1"/>
      <w:marLeft w:val="0"/>
      <w:marRight w:val="0"/>
      <w:marTop w:val="0"/>
      <w:marBottom w:val="0"/>
      <w:divBdr>
        <w:top w:val="none" w:sz="0" w:space="0" w:color="auto"/>
        <w:left w:val="none" w:sz="0" w:space="0" w:color="auto"/>
        <w:bottom w:val="none" w:sz="0" w:space="0" w:color="auto"/>
        <w:right w:val="none" w:sz="0" w:space="0" w:color="auto"/>
      </w:divBdr>
    </w:div>
    <w:div w:id="868954124">
      <w:bodyDiv w:val="1"/>
      <w:marLeft w:val="0"/>
      <w:marRight w:val="0"/>
      <w:marTop w:val="0"/>
      <w:marBottom w:val="0"/>
      <w:divBdr>
        <w:top w:val="none" w:sz="0" w:space="0" w:color="auto"/>
        <w:left w:val="none" w:sz="0" w:space="0" w:color="auto"/>
        <w:bottom w:val="none" w:sz="0" w:space="0" w:color="auto"/>
        <w:right w:val="none" w:sz="0" w:space="0" w:color="auto"/>
      </w:divBdr>
    </w:div>
    <w:div w:id="1059325962">
      <w:bodyDiv w:val="1"/>
      <w:marLeft w:val="0"/>
      <w:marRight w:val="0"/>
      <w:marTop w:val="0"/>
      <w:marBottom w:val="0"/>
      <w:divBdr>
        <w:top w:val="none" w:sz="0" w:space="0" w:color="auto"/>
        <w:left w:val="none" w:sz="0" w:space="0" w:color="auto"/>
        <w:bottom w:val="none" w:sz="0" w:space="0" w:color="auto"/>
        <w:right w:val="none" w:sz="0" w:space="0" w:color="auto"/>
      </w:divBdr>
    </w:div>
    <w:div w:id="1102190529">
      <w:bodyDiv w:val="1"/>
      <w:marLeft w:val="0"/>
      <w:marRight w:val="0"/>
      <w:marTop w:val="0"/>
      <w:marBottom w:val="0"/>
      <w:divBdr>
        <w:top w:val="none" w:sz="0" w:space="0" w:color="auto"/>
        <w:left w:val="none" w:sz="0" w:space="0" w:color="auto"/>
        <w:bottom w:val="none" w:sz="0" w:space="0" w:color="auto"/>
        <w:right w:val="none" w:sz="0" w:space="0" w:color="auto"/>
      </w:divBdr>
    </w:div>
    <w:div w:id="1209415406">
      <w:bodyDiv w:val="1"/>
      <w:marLeft w:val="0"/>
      <w:marRight w:val="0"/>
      <w:marTop w:val="0"/>
      <w:marBottom w:val="0"/>
      <w:divBdr>
        <w:top w:val="none" w:sz="0" w:space="0" w:color="auto"/>
        <w:left w:val="none" w:sz="0" w:space="0" w:color="auto"/>
        <w:bottom w:val="none" w:sz="0" w:space="0" w:color="auto"/>
        <w:right w:val="none" w:sz="0" w:space="0" w:color="auto"/>
      </w:divBdr>
    </w:div>
    <w:div w:id="1320034529">
      <w:bodyDiv w:val="1"/>
      <w:marLeft w:val="0"/>
      <w:marRight w:val="0"/>
      <w:marTop w:val="0"/>
      <w:marBottom w:val="0"/>
      <w:divBdr>
        <w:top w:val="none" w:sz="0" w:space="0" w:color="auto"/>
        <w:left w:val="none" w:sz="0" w:space="0" w:color="auto"/>
        <w:bottom w:val="none" w:sz="0" w:space="0" w:color="auto"/>
        <w:right w:val="none" w:sz="0" w:space="0" w:color="auto"/>
      </w:divBdr>
    </w:div>
    <w:div w:id="1457142878">
      <w:bodyDiv w:val="1"/>
      <w:marLeft w:val="0"/>
      <w:marRight w:val="0"/>
      <w:marTop w:val="0"/>
      <w:marBottom w:val="0"/>
      <w:divBdr>
        <w:top w:val="none" w:sz="0" w:space="0" w:color="auto"/>
        <w:left w:val="none" w:sz="0" w:space="0" w:color="auto"/>
        <w:bottom w:val="none" w:sz="0" w:space="0" w:color="auto"/>
        <w:right w:val="none" w:sz="0" w:space="0" w:color="auto"/>
      </w:divBdr>
    </w:div>
    <w:div w:id="1511606700">
      <w:bodyDiv w:val="1"/>
      <w:marLeft w:val="0"/>
      <w:marRight w:val="0"/>
      <w:marTop w:val="0"/>
      <w:marBottom w:val="0"/>
      <w:divBdr>
        <w:top w:val="none" w:sz="0" w:space="0" w:color="auto"/>
        <w:left w:val="none" w:sz="0" w:space="0" w:color="auto"/>
        <w:bottom w:val="none" w:sz="0" w:space="0" w:color="auto"/>
        <w:right w:val="none" w:sz="0" w:space="0" w:color="auto"/>
      </w:divBdr>
    </w:div>
    <w:div w:id="1539974548">
      <w:bodyDiv w:val="1"/>
      <w:marLeft w:val="0"/>
      <w:marRight w:val="0"/>
      <w:marTop w:val="0"/>
      <w:marBottom w:val="0"/>
      <w:divBdr>
        <w:top w:val="none" w:sz="0" w:space="0" w:color="auto"/>
        <w:left w:val="none" w:sz="0" w:space="0" w:color="auto"/>
        <w:bottom w:val="none" w:sz="0" w:space="0" w:color="auto"/>
        <w:right w:val="none" w:sz="0" w:space="0" w:color="auto"/>
      </w:divBdr>
    </w:div>
    <w:div w:id="1656839485">
      <w:bodyDiv w:val="1"/>
      <w:marLeft w:val="0"/>
      <w:marRight w:val="0"/>
      <w:marTop w:val="0"/>
      <w:marBottom w:val="0"/>
      <w:divBdr>
        <w:top w:val="none" w:sz="0" w:space="0" w:color="auto"/>
        <w:left w:val="none" w:sz="0" w:space="0" w:color="auto"/>
        <w:bottom w:val="none" w:sz="0" w:space="0" w:color="auto"/>
        <w:right w:val="none" w:sz="0" w:space="0" w:color="auto"/>
      </w:divBdr>
    </w:div>
    <w:div w:id="1694307963">
      <w:bodyDiv w:val="1"/>
      <w:marLeft w:val="0"/>
      <w:marRight w:val="0"/>
      <w:marTop w:val="0"/>
      <w:marBottom w:val="0"/>
      <w:divBdr>
        <w:top w:val="none" w:sz="0" w:space="0" w:color="auto"/>
        <w:left w:val="none" w:sz="0" w:space="0" w:color="auto"/>
        <w:bottom w:val="none" w:sz="0" w:space="0" w:color="auto"/>
        <w:right w:val="none" w:sz="0" w:space="0" w:color="auto"/>
      </w:divBdr>
    </w:div>
    <w:div w:id="1746607674">
      <w:bodyDiv w:val="1"/>
      <w:marLeft w:val="0"/>
      <w:marRight w:val="0"/>
      <w:marTop w:val="0"/>
      <w:marBottom w:val="0"/>
      <w:divBdr>
        <w:top w:val="none" w:sz="0" w:space="0" w:color="auto"/>
        <w:left w:val="none" w:sz="0" w:space="0" w:color="auto"/>
        <w:bottom w:val="none" w:sz="0" w:space="0" w:color="auto"/>
        <w:right w:val="none" w:sz="0" w:space="0" w:color="auto"/>
      </w:divBdr>
    </w:div>
    <w:div w:id="1876113362">
      <w:bodyDiv w:val="1"/>
      <w:marLeft w:val="0"/>
      <w:marRight w:val="0"/>
      <w:marTop w:val="0"/>
      <w:marBottom w:val="0"/>
      <w:divBdr>
        <w:top w:val="none" w:sz="0" w:space="0" w:color="auto"/>
        <w:left w:val="none" w:sz="0" w:space="0" w:color="auto"/>
        <w:bottom w:val="none" w:sz="0" w:space="0" w:color="auto"/>
        <w:right w:val="none" w:sz="0" w:space="0" w:color="auto"/>
      </w:divBdr>
    </w:div>
    <w:div w:id="1935087804">
      <w:bodyDiv w:val="1"/>
      <w:marLeft w:val="0"/>
      <w:marRight w:val="0"/>
      <w:marTop w:val="0"/>
      <w:marBottom w:val="0"/>
      <w:divBdr>
        <w:top w:val="none" w:sz="0" w:space="0" w:color="auto"/>
        <w:left w:val="none" w:sz="0" w:space="0" w:color="auto"/>
        <w:bottom w:val="none" w:sz="0" w:space="0" w:color="auto"/>
        <w:right w:val="none" w:sz="0" w:space="0" w:color="auto"/>
      </w:divBdr>
    </w:div>
    <w:div w:id="1969429345">
      <w:bodyDiv w:val="1"/>
      <w:marLeft w:val="0"/>
      <w:marRight w:val="0"/>
      <w:marTop w:val="0"/>
      <w:marBottom w:val="0"/>
      <w:divBdr>
        <w:top w:val="none" w:sz="0" w:space="0" w:color="auto"/>
        <w:left w:val="none" w:sz="0" w:space="0" w:color="auto"/>
        <w:bottom w:val="none" w:sz="0" w:space="0" w:color="auto"/>
        <w:right w:val="none" w:sz="0" w:space="0" w:color="auto"/>
      </w:divBdr>
    </w:div>
    <w:div w:id="214369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attpinfo@africanun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yperlink" Target="https://documents1.worldbank.org/curated/en/099101623140041645/pdf/BOSIB-c74a63d9-2ccf-487e-8112-e77d1999b450.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dineH\Documents\Custom%20Office%20Templates\Internal%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CB183-F1AD-4857-9BEB-67C865643AF7}">
  <ds:schemaRefs>
    <ds:schemaRef ds:uri="http://schemas.openxmlformats.org/officeDocument/2006/bibliography"/>
  </ds:schemaRefs>
</ds:datastoreItem>
</file>

<file path=docMetadata/LabelInfo.xml><?xml version="1.0" encoding="utf-8"?>
<clbl:labelList xmlns:clbl="http://schemas.microsoft.com/office/2020/mipLabelMetadata">
  <clbl:label id="{defa4170-0d19-0005-0004-bc88714345d2}" enabled="1" method="Standard" siteId="{fd2550a8-84b7-42d4-9ec6-c1aef2c7519a}" removed="0"/>
</clbl:labelList>
</file>

<file path=docProps/app.xml><?xml version="1.0" encoding="utf-8"?>
<Properties xmlns="http://schemas.openxmlformats.org/officeDocument/2006/extended-properties" xmlns:vt="http://schemas.openxmlformats.org/officeDocument/2006/docPropsVTypes">
  <Template>Internal memo</Template>
  <TotalTime>55</TotalTime>
  <Pages>5</Pages>
  <Words>1900</Words>
  <Characters>11969</Characters>
  <Application>Microsoft Office Word</Application>
  <DocSecurity>0</DocSecurity>
  <Lines>196</Lines>
  <Paragraphs>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AUC</dc:creator>
  <cp:keywords/>
  <dc:description/>
  <cp:lastModifiedBy>Themba Chirwa</cp:lastModifiedBy>
  <cp:revision>83</cp:revision>
  <cp:lastPrinted>2025-06-04T05:26:00Z</cp:lastPrinted>
  <dcterms:created xsi:type="dcterms:W3CDTF">2025-06-14T13:20:00Z</dcterms:created>
  <dcterms:modified xsi:type="dcterms:W3CDTF">2025-06-20T10:54:00Z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6f217236-0538-4b26-a8c1-12be5c69dc71</vt:lpwstr>
  </property>
</Properties>
</file>